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D2395" w14:textId="77777777" w:rsidR="00D50F20" w:rsidRPr="00D2042E" w:rsidRDefault="00126A65">
      <w:pPr>
        <w:spacing w:before="2600" w:after="200"/>
        <w:jc w:val="center"/>
      </w:pPr>
      <w:r w:rsidRPr="00D2042E">
        <w:rPr>
          <w:b/>
          <w:bCs/>
          <w:sz w:val="40"/>
          <w:szCs w:val="40"/>
        </w:rPr>
        <w:t>STRATEGIJA KIBERNETSKE VARNOSTI</w:t>
      </w:r>
    </w:p>
    <w:p w14:paraId="2FFACC48" w14:textId="77777777" w:rsidR="00D50F20" w:rsidRPr="00D2042E" w:rsidRDefault="00126A65">
      <w:pPr>
        <w:spacing w:after="200"/>
        <w:jc w:val="center"/>
      </w:pPr>
      <w:r w:rsidRPr="00D2042E">
        <w:rPr>
          <w:b/>
          <w:bCs/>
          <w:sz w:val="40"/>
          <w:szCs w:val="40"/>
        </w:rPr>
        <w:t>REPUBLIKE SLOVENIJE</w:t>
      </w:r>
    </w:p>
    <w:p w14:paraId="7964E7A4" w14:textId="77777777" w:rsidR="00D50F20" w:rsidRPr="00D2042E" w:rsidRDefault="00126A65">
      <w:pPr>
        <w:pStyle w:val="Navaden1"/>
        <w:spacing w:after="600"/>
        <w:jc w:val="center"/>
        <w:rPr>
          <w:color w:val="auto"/>
        </w:rPr>
      </w:pPr>
      <w:r w:rsidRPr="00D2042E">
        <w:rPr>
          <w:b/>
          <w:bCs/>
          <w:color w:val="auto"/>
          <w:sz w:val="36"/>
          <w:szCs w:val="36"/>
        </w:rPr>
        <w:t>2027–2035</w:t>
      </w:r>
    </w:p>
    <w:p w14:paraId="7A44379E" w14:textId="2F164AAB" w:rsidR="00D50F20" w:rsidRPr="00D2042E" w:rsidRDefault="00126A65">
      <w:pPr>
        <w:spacing w:after="120"/>
        <w:jc w:val="center"/>
        <w:rPr>
          <w:i/>
          <w:iCs/>
          <w:sz w:val="24"/>
          <w:szCs w:val="24"/>
        </w:rPr>
      </w:pPr>
      <w:r w:rsidRPr="00D2042E">
        <w:rPr>
          <w:i/>
          <w:iCs/>
          <w:sz w:val="24"/>
          <w:szCs w:val="24"/>
        </w:rPr>
        <w:t>Osnutek</w:t>
      </w:r>
    </w:p>
    <w:p w14:paraId="4FC84F1C" w14:textId="77777777" w:rsidR="00D50F20" w:rsidRPr="00D2042E" w:rsidRDefault="00D50F20">
      <w:pPr>
        <w:spacing w:after="120"/>
        <w:jc w:val="center"/>
      </w:pPr>
    </w:p>
    <w:p w14:paraId="2616B1F8" w14:textId="247707F9" w:rsidR="00D50F20" w:rsidRPr="00D2042E" w:rsidRDefault="00126A65">
      <w:pPr>
        <w:spacing w:after="1600"/>
        <w:jc w:val="center"/>
      </w:pPr>
      <w:r w:rsidRPr="00D2042E">
        <w:rPr>
          <w:sz w:val="24"/>
          <w:szCs w:val="24"/>
        </w:rPr>
        <w:t>Oktober 2026</w:t>
      </w:r>
    </w:p>
    <w:p w14:paraId="4FB63D73" w14:textId="77777777" w:rsidR="00D50F20" w:rsidRPr="00D2042E" w:rsidRDefault="00126A65">
      <w:r w:rsidRPr="00D2042E">
        <w:br w:type="page"/>
      </w:r>
    </w:p>
    <w:p w14:paraId="4FA488E3" w14:textId="71EE4600" w:rsidR="00DD576A" w:rsidRPr="00B95587" w:rsidRDefault="00126A65" w:rsidP="00B95587">
      <w:pPr>
        <w:spacing w:after="200"/>
        <w:rPr>
          <w:b/>
          <w:bCs/>
          <w:kern w:val="2"/>
          <w:sz w:val="32"/>
          <w:szCs w:val="32"/>
          <w14:ligatures w14:val="standardContextual"/>
        </w:rPr>
      </w:pPr>
      <w:r w:rsidRPr="00D2042E">
        <w:rPr>
          <w:b/>
          <w:bCs/>
          <w:sz w:val="32"/>
          <w:szCs w:val="32"/>
        </w:rPr>
        <w:lastRenderedPageBreak/>
        <w:t>KAZALO</w:t>
      </w:r>
      <w:r w:rsidR="00DD576A">
        <w:rPr>
          <w:sz w:val="2"/>
          <w:szCs w:val="2"/>
        </w:rPr>
        <w:t>​</w:t>
      </w:r>
    </w:p>
    <w:p w14:paraId="4290F9EA" w14:textId="598AC0FA" w:rsidR="005E7154" w:rsidRDefault="00DD576A">
      <w:pPr>
        <w:pStyle w:val="Kazalovsebine1"/>
        <w:tabs>
          <w:tab w:val="right" w:leader="dot" w:pos="9496"/>
        </w:tabs>
        <w:rPr>
          <w:rFonts w:asciiTheme="minorHAnsi" w:eastAsiaTheme="minorEastAsia" w:hAnsiTheme="minorHAnsi" w:cstheme="minorBidi"/>
          <w:noProof/>
          <w:kern w:val="2"/>
          <w:sz w:val="24"/>
          <w:szCs w:val="24"/>
          <w14:ligatures w14:val="standardContextual"/>
        </w:rPr>
      </w:pPr>
      <w:r>
        <w:rPr>
          <w:kern w:val="2"/>
          <w14:ligatures w14:val="standardContextual"/>
        </w:rPr>
        <w:fldChar w:fldCharType="begin"/>
      </w:r>
      <w:r>
        <w:instrText xml:space="preserve"> TOC \o "1-3" \h \* MERGEFORMAT </w:instrText>
      </w:r>
      <w:r>
        <w:rPr>
          <w:kern w:val="2"/>
          <w14:ligatures w14:val="standardContextual"/>
        </w:rPr>
        <w:fldChar w:fldCharType="separate"/>
      </w:r>
      <w:hyperlink w:anchor="_Toc242799355" w:history="1">
        <w:r w:rsidR="005E7154" w:rsidRPr="00BD1769">
          <w:rPr>
            <w:rStyle w:val="Hiperpovezava"/>
            <w:noProof/>
          </w:rPr>
          <w:t>POVZETEK</w:t>
        </w:r>
        <w:r w:rsidR="005E7154">
          <w:rPr>
            <w:noProof/>
          </w:rPr>
          <w:tab/>
        </w:r>
        <w:r w:rsidR="005E7154">
          <w:rPr>
            <w:noProof/>
          </w:rPr>
          <w:fldChar w:fldCharType="begin"/>
        </w:r>
        <w:r w:rsidR="005E7154">
          <w:rPr>
            <w:noProof/>
          </w:rPr>
          <w:instrText xml:space="preserve"> PAGEREF _Toc242799355 \h </w:instrText>
        </w:r>
        <w:r w:rsidR="005E7154">
          <w:rPr>
            <w:noProof/>
          </w:rPr>
        </w:r>
        <w:r w:rsidR="005E7154">
          <w:rPr>
            <w:noProof/>
          </w:rPr>
          <w:fldChar w:fldCharType="separate"/>
        </w:r>
        <w:r w:rsidR="005E7154">
          <w:rPr>
            <w:noProof/>
          </w:rPr>
          <w:t>4</w:t>
        </w:r>
        <w:r w:rsidR="005E7154">
          <w:rPr>
            <w:noProof/>
          </w:rPr>
          <w:fldChar w:fldCharType="end"/>
        </w:r>
      </w:hyperlink>
    </w:p>
    <w:p w14:paraId="4ED05EA6" w14:textId="7639A44F"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56" w:history="1">
        <w:r w:rsidRPr="00BD1769">
          <w:rPr>
            <w:rStyle w:val="Hiperpovezava"/>
            <w:noProof/>
          </w:rPr>
          <w:t>UVOD</w:t>
        </w:r>
        <w:r>
          <w:rPr>
            <w:noProof/>
          </w:rPr>
          <w:tab/>
        </w:r>
        <w:r>
          <w:rPr>
            <w:noProof/>
          </w:rPr>
          <w:fldChar w:fldCharType="begin"/>
        </w:r>
        <w:r>
          <w:rPr>
            <w:noProof/>
          </w:rPr>
          <w:instrText xml:space="preserve"> PAGEREF _Toc242799356 \h </w:instrText>
        </w:r>
        <w:r>
          <w:rPr>
            <w:noProof/>
          </w:rPr>
        </w:r>
        <w:r>
          <w:rPr>
            <w:noProof/>
          </w:rPr>
          <w:fldChar w:fldCharType="separate"/>
        </w:r>
        <w:r>
          <w:rPr>
            <w:noProof/>
          </w:rPr>
          <w:t>6</w:t>
        </w:r>
        <w:r>
          <w:rPr>
            <w:noProof/>
          </w:rPr>
          <w:fldChar w:fldCharType="end"/>
        </w:r>
      </w:hyperlink>
    </w:p>
    <w:p w14:paraId="2ACBE70A" w14:textId="5D60B37E"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57" w:history="1">
        <w:r w:rsidRPr="00BD1769">
          <w:rPr>
            <w:rStyle w:val="Hiperpovezava"/>
            <w:noProof/>
          </w:rPr>
          <w:t>IZHODIŠČA</w:t>
        </w:r>
        <w:r>
          <w:rPr>
            <w:noProof/>
          </w:rPr>
          <w:tab/>
        </w:r>
        <w:r>
          <w:rPr>
            <w:noProof/>
          </w:rPr>
          <w:fldChar w:fldCharType="begin"/>
        </w:r>
        <w:r>
          <w:rPr>
            <w:noProof/>
          </w:rPr>
          <w:instrText xml:space="preserve"> PAGEREF _Toc242799357 \h </w:instrText>
        </w:r>
        <w:r>
          <w:rPr>
            <w:noProof/>
          </w:rPr>
        </w:r>
        <w:r>
          <w:rPr>
            <w:noProof/>
          </w:rPr>
          <w:fldChar w:fldCharType="separate"/>
        </w:r>
        <w:r>
          <w:rPr>
            <w:noProof/>
          </w:rPr>
          <w:t>8</w:t>
        </w:r>
        <w:r>
          <w:rPr>
            <w:noProof/>
          </w:rPr>
          <w:fldChar w:fldCharType="end"/>
        </w:r>
      </w:hyperlink>
    </w:p>
    <w:p w14:paraId="6B6B3137" w14:textId="6FBCD8F8"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58" w:history="1">
        <w:r w:rsidRPr="00BD1769">
          <w:rPr>
            <w:rStyle w:val="Hiperpovezava"/>
            <w:noProof/>
          </w:rPr>
          <w:t>Analiza izvajanja Strategije kibernetske varnosti Republike Slovenije 2016–2025</w:t>
        </w:r>
        <w:r>
          <w:rPr>
            <w:noProof/>
          </w:rPr>
          <w:tab/>
        </w:r>
        <w:r>
          <w:rPr>
            <w:noProof/>
          </w:rPr>
          <w:fldChar w:fldCharType="begin"/>
        </w:r>
        <w:r>
          <w:rPr>
            <w:noProof/>
          </w:rPr>
          <w:instrText xml:space="preserve"> PAGEREF _Toc242799358 \h </w:instrText>
        </w:r>
        <w:r>
          <w:rPr>
            <w:noProof/>
          </w:rPr>
        </w:r>
        <w:r>
          <w:rPr>
            <w:noProof/>
          </w:rPr>
          <w:fldChar w:fldCharType="separate"/>
        </w:r>
        <w:r>
          <w:rPr>
            <w:noProof/>
          </w:rPr>
          <w:t>8</w:t>
        </w:r>
        <w:r>
          <w:rPr>
            <w:noProof/>
          </w:rPr>
          <w:fldChar w:fldCharType="end"/>
        </w:r>
      </w:hyperlink>
    </w:p>
    <w:p w14:paraId="0A4BE8DF" w14:textId="3B0F0905"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59" w:history="1">
        <w:r w:rsidRPr="00BD1769">
          <w:rPr>
            <w:rStyle w:val="Hiperpovezava"/>
            <w:noProof/>
          </w:rPr>
          <w:t>Doseženo v obdobju 2016–2025</w:t>
        </w:r>
        <w:r>
          <w:rPr>
            <w:noProof/>
          </w:rPr>
          <w:tab/>
        </w:r>
        <w:r>
          <w:rPr>
            <w:noProof/>
          </w:rPr>
          <w:fldChar w:fldCharType="begin"/>
        </w:r>
        <w:r>
          <w:rPr>
            <w:noProof/>
          </w:rPr>
          <w:instrText xml:space="preserve"> PAGEREF _Toc242799359 \h </w:instrText>
        </w:r>
        <w:r>
          <w:rPr>
            <w:noProof/>
          </w:rPr>
        </w:r>
        <w:r>
          <w:rPr>
            <w:noProof/>
          </w:rPr>
          <w:fldChar w:fldCharType="separate"/>
        </w:r>
        <w:r>
          <w:rPr>
            <w:noProof/>
          </w:rPr>
          <w:t>8</w:t>
        </w:r>
        <w:r>
          <w:rPr>
            <w:noProof/>
          </w:rPr>
          <w:fldChar w:fldCharType="end"/>
        </w:r>
      </w:hyperlink>
    </w:p>
    <w:p w14:paraId="1D31570E" w14:textId="1F996EBC"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60" w:history="1">
        <w:r w:rsidRPr="00BD1769">
          <w:rPr>
            <w:rStyle w:val="Hiperpovezava"/>
            <w:noProof/>
          </w:rPr>
          <w:t>Ključni izzivi in nadaljnje razvojne potrebe</w:t>
        </w:r>
        <w:r>
          <w:rPr>
            <w:noProof/>
          </w:rPr>
          <w:tab/>
        </w:r>
        <w:r>
          <w:rPr>
            <w:noProof/>
          </w:rPr>
          <w:fldChar w:fldCharType="begin"/>
        </w:r>
        <w:r>
          <w:rPr>
            <w:noProof/>
          </w:rPr>
          <w:instrText xml:space="preserve"> PAGEREF _Toc242799360 \h </w:instrText>
        </w:r>
        <w:r>
          <w:rPr>
            <w:noProof/>
          </w:rPr>
        </w:r>
        <w:r>
          <w:rPr>
            <w:noProof/>
          </w:rPr>
          <w:fldChar w:fldCharType="separate"/>
        </w:r>
        <w:r>
          <w:rPr>
            <w:noProof/>
          </w:rPr>
          <w:t>9</w:t>
        </w:r>
        <w:r>
          <w:rPr>
            <w:noProof/>
          </w:rPr>
          <w:fldChar w:fldCharType="end"/>
        </w:r>
      </w:hyperlink>
    </w:p>
    <w:p w14:paraId="08E575BA" w14:textId="36F802FC"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61" w:history="1">
        <w:r w:rsidRPr="00BD1769">
          <w:rPr>
            <w:rStyle w:val="Hiperpovezava"/>
            <w:noProof/>
          </w:rPr>
          <w:t>VIZIJA, PREDNOSTNI NALOGI IN CILJI</w:t>
        </w:r>
        <w:r>
          <w:rPr>
            <w:noProof/>
          </w:rPr>
          <w:tab/>
        </w:r>
        <w:r>
          <w:rPr>
            <w:noProof/>
          </w:rPr>
          <w:fldChar w:fldCharType="begin"/>
        </w:r>
        <w:r>
          <w:rPr>
            <w:noProof/>
          </w:rPr>
          <w:instrText xml:space="preserve"> PAGEREF _Toc242799361 \h </w:instrText>
        </w:r>
        <w:r>
          <w:rPr>
            <w:noProof/>
          </w:rPr>
        </w:r>
        <w:r>
          <w:rPr>
            <w:noProof/>
          </w:rPr>
          <w:fldChar w:fldCharType="separate"/>
        </w:r>
        <w:r>
          <w:rPr>
            <w:noProof/>
          </w:rPr>
          <w:t>10</w:t>
        </w:r>
        <w:r>
          <w:rPr>
            <w:noProof/>
          </w:rPr>
          <w:fldChar w:fldCharType="end"/>
        </w:r>
      </w:hyperlink>
    </w:p>
    <w:p w14:paraId="65E2188A" w14:textId="3CEF85F1"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62" w:history="1">
        <w:r w:rsidRPr="00BD1769">
          <w:rPr>
            <w:rStyle w:val="Hiperpovezava"/>
            <w:noProof/>
          </w:rPr>
          <w:t>OKVIR UPRAVLJANJA IN ODGOVORNOSTI</w:t>
        </w:r>
        <w:r>
          <w:rPr>
            <w:noProof/>
          </w:rPr>
          <w:tab/>
        </w:r>
        <w:r>
          <w:rPr>
            <w:noProof/>
          </w:rPr>
          <w:fldChar w:fldCharType="begin"/>
        </w:r>
        <w:r>
          <w:rPr>
            <w:noProof/>
          </w:rPr>
          <w:instrText xml:space="preserve"> PAGEREF _Toc242799362 \h </w:instrText>
        </w:r>
        <w:r>
          <w:rPr>
            <w:noProof/>
          </w:rPr>
        </w:r>
        <w:r>
          <w:rPr>
            <w:noProof/>
          </w:rPr>
          <w:fldChar w:fldCharType="separate"/>
        </w:r>
        <w:r>
          <w:rPr>
            <w:noProof/>
          </w:rPr>
          <w:t>10</w:t>
        </w:r>
        <w:r>
          <w:rPr>
            <w:noProof/>
          </w:rPr>
          <w:fldChar w:fldCharType="end"/>
        </w:r>
      </w:hyperlink>
    </w:p>
    <w:p w14:paraId="2DD45A46" w14:textId="2A9EC12E"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63" w:history="1">
        <w:r w:rsidRPr="00BD1769">
          <w:rPr>
            <w:rStyle w:val="Hiperpovezava"/>
            <w:noProof/>
          </w:rPr>
          <w:t>Nosilci nalog v nacionalnem sistemu kibernetske varnosti</w:t>
        </w:r>
        <w:r>
          <w:rPr>
            <w:noProof/>
          </w:rPr>
          <w:tab/>
        </w:r>
        <w:r>
          <w:rPr>
            <w:noProof/>
          </w:rPr>
          <w:fldChar w:fldCharType="begin"/>
        </w:r>
        <w:r>
          <w:rPr>
            <w:noProof/>
          </w:rPr>
          <w:instrText xml:space="preserve"> PAGEREF _Toc242799363 \h </w:instrText>
        </w:r>
        <w:r>
          <w:rPr>
            <w:noProof/>
          </w:rPr>
        </w:r>
        <w:r>
          <w:rPr>
            <w:noProof/>
          </w:rPr>
          <w:fldChar w:fldCharType="separate"/>
        </w:r>
        <w:r>
          <w:rPr>
            <w:noProof/>
          </w:rPr>
          <w:t>10</w:t>
        </w:r>
        <w:r>
          <w:rPr>
            <w:noProof/>
          </w:rPr>
          <w:fldChar w:fldCharType="end"/>
        </w:r>
      </w:hyperlink>
    </w:p>
    <w:p w14:paraId="4697F7BC" w14:textId="07E13634"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64" w:history="1">
        <w:r w:rsidRPr="00BD1769">
          <w:rPr>
            <w:rStyle w:val="Hiperpovezava"/>
            <w:noProof/>
          </w:rPr>
          <w:t>Strateške usmeritve</w:t>
        </w:r>
        <w:r>
          <w:rPr>
            <w:noProof/>
          </w:rPr>
          <w:tab/>
        </w:r>
        <w:r>
          <w:rPr>
            <w:noProof/>
          </w:rPr>
          <w:fldChar w:fldCharType="begin"/>
        </w:r>
        <w:r>
          <w:rPr>
            <w:noProof/>
          </w:rPr>
          <w:instrText xml:space="preserve"> PAGEREF _Toc242799364 \h </w:instrText>
        </w:r>
        <w:r>
          <w:rPr>
            <w:noProof/>
          </w:rPr>
        </w:r>
        <w:r>
          <w:rPr>
            <w:noProof/>
          </w:rPr>
          <w:fldChar w:fldCharType="separate"/>
        </w:r>
        <w:r>
          <w:rPr>
            <w:noProof/>
          </w:rPr>
          <w:t>11</w:t>
        </w:r>
        <w:r>
          <w:rPr>
            <w:noProof/>
          </w:rPr>
          <w:fldChar w:fldCharType="end"/>
        </w:r>
      </w:hyperlink>
    </w:p>
    <w:p w14:paraId="4F07CC00" w14:textId="3A1A7D85"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65" w:history="1">
        <w:r w:rsidRPr="00BD1769">
          <w:rPr>
            <w:rStyle w:val="Hiperpovezava"/>
            <w:noProof/>
          </w:rPr>
          <w:t>NAČRT ZA KREPITEV SPLOŠNE DRUŽBENE OZAVEŠČENOSTI O KIBERNETSKI VARNOSTI</w:t>
        </w:r>
        <w:r>
          <w:rPr>
            <w:noProof/>
          </w:rPr>
          <w:tab/>
        </w:r>
        <w:r>
          <w:rPr>
            <w:noProof/>
          </w:rPr>
          <w:fldChar w:fldCharType="begin"/>
        </w:r>
        <w:r>
          <w:rPr>
            <w:noProof/>
          </w:rPr>
          <w:instrText xml:space="preserve"> PAGEREF _Toc242799365 \h </w:instrText>
        </w:r>
        <w:r>
          <w:rPr>
            <w:noProof/>
          </w:rPr>
        </w:r>
        <w:r>
          <w:rPr>
            <w:noProof/>
          </w:rPr>
          <w:fldChar w:fldCharType="separate"/>
        </w:r>
        <w:r>
          <w:rPr>
            <w:noProof/>
          </w:rPr>
          <w:t>13</w:t>
        </w:r>
        <w:r>
          <w:rPr>
            <w:noProof/>
          </w:rPr>
          <w:fldChar w:fldCharType="end"/>
        </w:r>
      </w:hyperlink>
    </w:p>
    <w:p w14:paraId="7929FAA2" w14:textId="4402BA3B"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66" w:history="1">
        <w:r w:rsidRPr="00BD1769">
          <w:rPr>
            <w:rStyle w:val="Hiperpovezava"/>
            <w:noProof/>
          </w:rPr>
          <w:t>Strateške usmeritve</w:t>
        </w:r>
        <w:r>
          <w:rPr>
            <w:noProof/>
          </w:rPr>
          <w:tab/>
        </w:r>
        <w:r>
          <w:rPr>
            <w:noProof/>
          </w:rPr>
          <w:fldChar w:fldCharType="begin"/>
        </w:r>
        <w:r>
          <w:rPr>
            <w:noProof/>
          </w:rPr>
          <w:instrText xml:space="preserve"> PAGEREF _Toc242799366 \h </w:instrText>
        </w:r>
        <w:r>
          <w:rPr>
            <w:noProof/>
          </w:rPr>
        </w:r>
        <w:r>
          <w:rPr>
            <w:noProof/>
          </w:rPr>
          <w:fldChar w:fldCharType="separate"/>
        </w:r>
        <w:r>
          <w:rPr>
            <w:noProof/>
          </w:rPr>
          <w:t>13</w:t>
        </w:r>
        <w:r>
          <w:rPr>
            <w:noProof/>
          </w:rPr>
          <w:fldChar w:fldCharType="end"/>
        </w:r>
      </w:hyperlink>
    </w:p>
    <w:p w14:paraId="5A810280" w14:textId="56EEA60B"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67" w:history="1">
        <w:r w:rsidRPr="00BD1769">
          <w:rPr>
            <w:rStyle w:val="Hiperpovezava"/>
            <w:noProof/>
          </w:rPr>
          <w:t>KREPITEV MEHANIZMOV ZA ODZIVANJE NA INCIDENTE, VKLJUČNO S SODELOVANJEM MED JAVNIM IN ZASEBNIM SEKTORJEM</w:t>
        </w:r>
        <w:r>
          <w:rPr>
            <w:noProof/>
          </w:rPr>
          <w:tab/>
        </w:r>
        <w:r>
          <w:rPr>
            <w:noProof/>
          </w:rPr>
          <w:fldChar w:fldCharType="begin"/>
        </w:r>
        <w:r>
          <w:rPr>
            <w:noProof/>
          </w:rPr>
          <w:instrText xml:space="preserve"> PAGEREF _Toc242799367 \h </w:instrText>
        </w:r>
        <w:r>
          <w:rPr>
            <w:noProof/>
          </w:rPr>
        </w:r>
        <w:r>
          <w:rPr>
            <w:noProof/>
          </w:rPr>
          <w:fldChar w:fldCharType="separate"/>
        </w:r>
        <w:r>
          <w:rPr>
            <w:noProof/>
          </w:rPr>
          <w:t>14</w:t>
        </w:r>
        <w:r>
          <w:rPr>
            <w:noProof/>
          </w:rPr>
          <w:fldChar w:fldCharType="end"/>
        </w:r>
      </w:hyperlink>
    </w:p>
    <w:p w14:paraId="2249C6D6" w14:textId="6538D9E2"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68" w:history="1">
        <w:r w:rsidRPr="00BD1769">
          <w:rPr>
            <w:rStyle w:val="Hiperpovezava"/>
            <w:noProof/>
          </w:rPr>
          <w:t>Strateške usmeritve</w:t>
        </w:r>
        <w:r>
          <w:rPr>
            <w:noProof/>
          </w:rPr>
          <w:tab/>
        </w:r>
        <w:r>
          <w:rPr>
            <w:noProof/>
          </w:rPr>
          <w:fldChar w:fldCharType="begin"/>
        </w:r>
        <w:r>
          <w:rPr>
            <w:noProof/>
          </w:rPr>
          <w:instrText xml:space="preserve"> PAGEREF _Toc242799368 \h </w:instrText>
        </w:r>
        <w:r>
          <w:rPr>
            <w:noProof/>
          </w:rPr>
        </w:r>
        <w:r>
          <w:rPr>
            <w:noProof/>
          </w:rPr>
          <w:fldChar w:fldCharType="separate"/>
        </w:r>
        <w:r>
          <w:rPr>
            <w:noProof/>
          </w:rPr>
          <w:t>14</w:t>
        </w:r>
        <w:r>
          <w:rPr>
            <w:noProof/>
          </w:rPr>
          <w:fldChar w:fldCharType="end"/>
        </w:r>
      </w:hyperlink>
    </w:p>
    <w:p w14:paraId="035DCD86" w14:textId="44EE16EB"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69" w:history="1">
        <w:r w:rsidRPr="00BD1769">
          <w:rPr>
            <w:rStyle w:val="Hiperpovezava"/>
            <w:noProof/>
          </w:rPr>
          <w:t>KREPITEV NACIONALNEGA SISTEMA KIBERNETSKE VARNOSTI</w:t>
        </w:r>
        <w:r>
          <w:rPr>
            <w:noProof/>
          </w:rPr>
          <w:tab/>
        </w:r>
        <w:r>
          <w:rPr>
            <w:noProof/>
          </w:rPr>
          <w:fldChar w:fldCharType="begin"/>
        </w:r>
        <w:r>
          <w:rPr>
            <w:noProof/>
          </w:rPr>
          <w:instrText xml:space="preserve"> PAGEREF _Toc242799369 \h </w:instrText>
        </w:r>
        <w:r>
          <w:rPr>
            <w:noProof/>
          </w:rPr>
        </w:r>
        <w:r>
          <w:rPr>
            <w:noProof/>
          </w:rPr>
          <w:fldChar w:fldCharType="separate"/>
        </w:r>
        <w:r>
          <w:rPr>
            <w:noProof/>
          </w:rPr>
          <w:t>15</w:t>
        </w:r>
        <w:r>
          <w:rPr>
            <w:noProof/>
          </w:rPr>
          <w:fldChar w:fldCharType="end"/>
        </w:r>
      </w:hyperlink>
    </w:p>
    <w:p w14:paraId="40A22F9F" w14:textId="6DF37424"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70" w:history="1">
        <w:r w:rsidRPr="00BD1769">
          <w:rPr>
            <w:rStyle w:val="Hiperpovezava"/>
            <w:noProof/>
          </w:rPr>
          <w:t>Strateške usmeritve</w:t>
        </w:r>
        <w:r>
          <w:rPr>
            <w:noProof/>
          </w:rPr>
          <w:tab/>
        </w:r>
        <w:r>
          <w:rPr>
            <w:noProof/>
          </w:rPr>
          <w:fldChar w:fldCharType="begin"/>
        </w:r>
        <w:r>
          <w:rPr>
            <w:noProof/>
          </w:rPr>
          <w:instrText xml:space="preserve"> PAGEREF _Toc242799370 \h </w:instrText>
        </w:r>
        <w:r>
          <w:rPr>
            <w:noProof/>
          </w:rPr>
        </w:r>
        <w:r>
          <w:rPr>
            <w:noProof/>
          </w:rPr>
          <w:fldChar w:fldCharType="separate"/>
        </w:r>
        <w:r>
          <w:rPr>
            <w:noProof/>
          </w:rPr>
          <w:t>15</w:t>
        </w:r>
        <w:r>
          <w:rPr>
            <w:noProof/>
          </w:rPr>
          <w:fldChar w:fldCharType="end"/>
        </w:r>
      </w:hyperlink>
    </w:p>
    <w:p w14:paraId="2909CB78" w14:textId="44165460"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71" w:history="1">
        <w:r w:rsidRPr="00BD1769">
          <w:rPr>
            <w:rStyle w:val="Hiperpovezava"/>
            <w:noProof/>
          </w:rPr>
          <w:t>KREPITEV ODPORNOSTI DRUŽBE V KIBERNETSKEM PROSTORU</w:t>
        </w:r>
        <w:r>
          <w:rPr>
            <w:noProof/>
          </w:rPr>
          <w:tab/>
        </w:r>
        <w:r>
          <w:rPr>
            <w:noProof/>
          </w:rPr>
          <w:fldChar w:fldCharType="begin"/>
        </w:r>
        <w:r>
          <w:rPr>
            <w:noProof/>
          </w:rPr>
          <w:instrText xml:space="preserve"> PAGEREF _Toc242799371 \h </w:instrText>
        </w:r>
        <w:r>
          <w:rPr>
            <w:noProof/>
          </w:rPr>
        </w:r>
        <w:r>
          <w:rPr>
            <w:noProof/>
          </w:rPr>
          <w:fldChar w:fldCharType="separate"/>
        </w:r>
        <w:r>
          <w:rPr>
            <w:noProof/>
          </w:rPr>
          <w:t>17</w:t>
        </w:r>
        <w:r>
          <w:rPr>
            <w:noProof/>
          </w:rPr>
          <w:fldChar w:fldCharType="end"/>
        </w:r>
      </w:hyperlink>
    </w:p>
    <w:p w14:paraId="77CF72DD" w14:textId="1C10E333"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72" w:history="1">
        <w:r w:rsidRPr="00BD1769">
          <w:rPr>
            <w:rStyle w:val="Hiperpovezava"/>
            <w:noProof/>
          </w:rPr>
          <w:t>Zaščita ključnih digitalnih infrastruktur in javnega jedra interneta</w:t>
        </w:r>
        <w:r>
          <w:rPr>
            <w:noProof/>
          </w:rPr>
          <w:tab/>
        </w:r>
        <w:r>
          <w:rPr>
            <w:noProof/>
          </w:rPr>
          <w:fldChar w:fldCharType="begin"/>
        </w:r>
        <w:r>
          <w:rPr>
            <w:noProof/>
          </w:rPr>
          <w:instrText xml:space="preserve"> PAGEREF _Toc242799372 \h </w:instrText>
        </w:r>
        <w:r>
          <w:rPr>
            <w:noProof/>
          </w:rPr>
        </w:r>
        <w:r>
          <w:rPr>
            <w:noProof/>
          </w:rPr>
          <w:fldChar w:fldCharType="separate"/>
        </w:r>
        <w:r>
          <w:rPr>
            <w:noProof/>
          </w:rPr>
          <w:t>17</w:t>
        </w:r>
        <w:r>
          <w:rPr>
            <w:noProof/>
          </w:rPr>
          <w:fldChar w:fldCharType="end"/>
        </w:r>
      </w:hyperlink>
    </w:p>
    <w:p w14:paraId="6C7671EF" w14:textId="555FBF44"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73" w:history="1">
        <w:r w:rsidRPr="00BD1769">
          <w:rPr>
            <w:rStyle w:val="Hiperpovezava"/>
            <w:noProof/>
          </w:rPr>
          <w:t>Strateške usmeritve</w:t>
        </w:r>
        <w:r>
          <w:rPr>
            <w:noProof/>
          </w:rPr>
          <w:tab/>
        </w:r>
        <w:r>
          <w:rPr>
            <w:noProof/>
          </w:rPr>
          <w:fldChar w:fldCharType="begin"/>
        </w:r>
        <w:r>
          <w:rPr>
            <w:noProof/>
          </w:rPr>
          <w:instrText xml:space="preserve"> PAGEREF _Toc242799373 \h </w:instrText>
        </w:r>
        <w:r>
          <w:rPr>
            <w:noProof/>
          </w:rPr>
        </w:r>
        <w:r>
          <w:rPr>
            <w:noProof/>
          </w:rPr>
          <w:fldChar w:fldCharType="separate"/>
        </w:r>
        <w:r>
          <w:rPr>
            <w:noProof/>
          </w:rPr>
          <w:t>17</w:t>
        </w:r>
        <w:r>
          <w:rPr>
            <w:noProof/>
          </w:rPr>
          <w:fldChar w:fldCharType="end"/>
        </w:r>
      </w:hyperlink>
    </w:p>
    <w:p w14:paraId="16FDBC29" w14:textId="18659113"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74" w:history="1">
        <w:r w:rsidRPr="00BD1769">
          <w:rPr>
            <w:rStyle w:val="Hiperpovezava"/>
            <w:noProof/>
          </w:rPr>
          <w:t>Digitalna identiteta in zaupanje v digitalne storitve</w:t>
        </w:r>
        <w:r>
          <w:rPr>
            <w:noProof/>
          </w:rPr>
          <w:tab/>
        </w:r>
        <w:r>
          <w:rPr>
            <w:noProof/>
          </w:rPr>
          <w:fldChar w:fldCharType="begin"/>
        </w:r>
        <w:r>
          <w:rPr>
            <w:noProof/>
          </w:rPr>
          <w:instrText xml:space="preserve"> PAGEREF _Toc242799374 \h </w:instrText>
        </w:r>
        <w:r>
          <w:rPr>
            <w:noProof/>
          </w:rPr>
        </w:r>
        <w:r>
          <w:rPr>
            <w:noProof/>
          </w:rPr>
          <w:fldChar w:fldCharType="separate"/>
        </w:r>
        <w:r>
          <w:rPr>
            <w:noProof/>
          </w:rPr>
          <w:t>17</w:t>
        </w:r>
        <w:r>
          <w:rPr>
            <w:noProof/>
          </w:rPr>
          <w:fldChar w:fldCharType="end"/>
        </w:r>
      </w:hyperlink>
    </w:p>
    <w:p w14:paraId="1F283EBF" w14:textId="12F01D6B"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75" w:history="1">
        <w:r w:rsidRPr="00BD1769">
          <w:rPr>
            <w:rStyle w:val="Hiperpovezava"/>
            <w:noProof/>
          </w:rPr>
          <w:t>Strateške usmeritve</w:t>
        </w:r>
        <w:r>
          <w:rPr>
            <w:noProof/>
          </w:rPr>
          <w:tab/>
        </w:r>
        <w:r>
          <w:rPr>
            <w:noProof/>
          </w:rPr>
          <w:fldChar w:fldCharType="begin"/>
        </w:r>
        <w:r>
          <w:rPr>
            <w:noProof/>
          </w:rPr>
          <w:instrText xml:space="preserve"> PAGEREF _Toc242799375 \h </w:instrText>
        </w:r>
        <w:r>
          <w:rPr>
            <w:noProof/>
          </w:rPr>
        </w:r>
        <w:r>
          <w:rPr>
            <w:noProof/>
          </w:rPr>
          <w:fldChar w:fldCharType="separate"/>
        </w:r>
        <w:r>
          <w:rPr>
            <w:noProof/>
          </w:rPr>
          <w:t>18</w:t>
        </w:r>
        <w:r>
          <w:rPr>
            <w:noProof/>
          </w:rPr>
          <w:fldChar w:fldCharType="end"/>
        </w:r>
      </w:hyperlink>
    </w:p>
    <w:p w14:paraId="65FBF4A9" w14:textId="02FCEF7F"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76" w:history="1">
        <w:r w:rsidRPr="00BD1769">
          <w:rPr>
            <w:rStyle w:val="Hiperpovezava"/>
            <w:noProof/>
          </w:rPr>
          <w:t>Kibernetska odpornost proizvodov in storitev z digitalnimi elementi</w:t>
        </w:r>
        <w:r>
          <w:rPr>
            <w:noProof/>
          </w:rPr>
          <w:tab/>
        </w:r>
        <w:r>
          <w:rPr>
            <w:noProof/>
          </w:rPr>
          <w:fldChar w:fldCharType="begin"/>
        </w:r>
        <w:r>
          <w:rPr>
            <w:noProof/>
          </w:rPr>
          <w:instrText xml:space="preserve"> PAGEREF _Toc242799376 \h </w:instrText>
        </w:r>
        <w:r>
          <w:rPr>
            <w:noProof/>
          </w:rPr>
        </w:r>
        <w:r>
          <w:rPr>
            <w:noProof/>
          </w:rPr>
          <w:fldChar w:fldCharType="separate"/>
        </w:r>
        <w:r>
          <w:rPr>
            <w:noProof/>
          </w:rPr>
          <w:t>18</w:t>
        </w:r>
        <w:r>
          <w:rPr>
            <w:noProof/>
          </w:rPr>
          <w:fldChar w:fldCharType="end"/>
        </w:r>
      </w:hyperlink>
    </w:p>
    <w:p w14:paraId="0DE5D7FB" w14:textId="0EA0AF6F"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77" w:history="1">
        <w:r w:rsidRPr="00BD1769">
          <w:rPr>
            <w:rStyle w:val="Hiperpovezava"/>
            <w:noProof/>
          </w:rPr>
          <w:t>Strateške usmeritve</w:t>
        </w:r>
        <w:r>
          <w:rPr>
            <w:noProof/>
          </w:rPr>
          <w:tab/>
        </w:r>
        <w:r>
          <w:rPr>
            <w:noProof/>
          </w:rPr>
          <w:fldChar w:fldCharType="begin"/>
        </w:r>
        <w:r>
          <w:rPr>
            <w:noProof/>
          </w:rPr>
          <w:instrText xml:space="preserve"> PAGEREF _Toc242799377 \h </w:instrText>
        </w:r>
        <w:r>
          <w:rPr>
            <w:noProof/>
          </w:rPr>
        </w:r>
        <w:r>
          <w:rPr>
            <w:noProof/>
          </w:rPr>
          <w:fldChar w:fldCharType="separate"/>
        </w:r>
        <w:r>
          <w:rPr>
            <w:noProof/>
          </w:rPr>
          <w:t>18</w:t>
        </w:r>
        <w:r>
          <w:rPr>
            <w:noProof/>
          </w:rPr>
          <w:fldChar w:fldCharType="end"/>
        </w:r>
      </w:hyperlink>
    </w:p>
    <w:p w14:paraId="459B70D4" w14:textId="7C74E1A9"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78" w:history="1">
        <w:r w:rsidRPr="00BD1769">
          <w:rPr>
            <w:rStyle w:val="Hiperpovezava"/>
            <w:noProof/>
          </w:rPr>
          <w:t>Odpornost gospodarstva ter mikro, malih in srednjih podjetij</w:t>
        </w:r>
        <w:r>
          <w:rPr>
            <w:noProof/>
          </w:rPr>
          <w:tab/>
        </w:r>
        <w:r>
          <w:rPr>
            <w:noProof/>
          </w:rPr>
          <w:fldChar w:fldCharType="begin"/>
        </w:r>
        <w:r>
          <w:rPr>
            <w:noProof/>
          </w:rPr>
          <w:instrText xml:space="preserve"> PAGEREF _Toc242799378 \h </w:instrText>
        </w:r>
        <w:r>
          <w:rPr>
            <w:noProof/>
          </w:rPr>
        </w:r>
        <w:r>
          <w:rPr>
            <w:noProof/>
          </w:rPr>
          <w:fldChar w:fldCharType="separate"/>
        </w:r>
        <w:r>
          <w:rPr>
            <w:noProof/>
          </w:rPr>
          <w:t>19</w:t>
        </w:r>
        <w:r>
          <w:rPr>
            <w:noProof/>
          </w:rPr>
          <w:fldChar w:fldCharType="end"/>
        </w:r>
      </w:hyperlink>
    </w:p>
    <w:p w14:paraId="77445B24" w14:textId="0891575A"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79" w:history="1">
        <w:r w:rsidRPr="00BD1769">
          <w:rPr>
            <w:rStyle w:val="Hiperpovezava"/>
            <w:noProof/>
          </w:rPr>
          <w:t>Strateške usmeritve</w:t>
        </w:r>
        <w:r>
          <w:rPr>
            <w:noProof/>
          </w:rPr>
          <w:tab/>
        </w:r>
        <w:r>
          <w:rPr>
            <w:noProof/>
          </w:rPr>
          <w:fldChar w:fldCharType="begin"/>
        </w:r>
        <w:r>
          <w:rPr>
            <w:noProof/>
          </w:rPr>
          <w:instrText xml:space="preserve"> PAGEREF _Toc242799379 \h </w:instrText>
        </w:r>
        <w:r>
          <w:rPr>
            <w:noProof/>
          </w:rPr>
        </w:r>
        <w:r>
          <w:rPr>
            <w:noProof/>
          </w:rPr>
          <w:fldChar w:fldCharType="separate"/>
        </w:r>
        <w:r>
          <w:rPr>
            <w:noProof/>
          </w:rPr>
          <w:t>19</w:t>
        </w:r>
        <w:r>
          <w:rPr>
            <w:noProof/>
          </w:rPr>
          <w:fldChar w:fldCharType="end"/>
        </w:r>
      </w:hyperlink>
    </w:p>
    <w:p w14:paraId="14696406" w14:textId="461513E8"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80" w:history="1">
        <w:r w:rsidRPr="00BD1769">
          <w:rPr>
            <w:rStyle w:val="Hiperpovezava"/>
            <w:noProof/>
          </w:rPr>
          <w:t>KREPITEV BOJA PROTI KIBERNETSKEMU KRIMINALU</w:t>
        </w:r>
        <w:r>
          <w:rPr>
            <w:noProof/>
          </w:rPr>
          <w:tab/>
        </w:r>
        <w:r>
          <w:rPr>
            <w:noProof/>
          </w:rPr>
          <w:fldChar w:fldCharType="begin"/>
        </w:r>
        <w:r>
          <w:rPr>
            <w:noProof/>
          </w:rPr>
          <w:instrText xml:space="preserve"> PAGEREF _Toc242799380 \h </w:instrText>
        </w:r>
        <w:r>
          <w:rPr>
            <w:noProof/>
          </w:rPr>
        </w:r>
        <w:r>
          <w:rPr>
            <w:noProof/>
          </w:rPr>
          <w:fldChar w:fldCharType="separate"/>
        </w:r>
        <w:r>
          <w:rPr>
            <w:noProof/>
          </w:rPr>
          <w:t>20</w:t>
        </w:r>
        <w:r>
          <w:rPr>
            <w:noProof/>
          </w:rPr>
          <w:fldChar w:fldCharType="end"/>
        </w:r>
      </w:hyperlink>
    </w:p>
    <w:p w14:paraId="2A2EFC0B" w14:textId="515051D1"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81" w:history="1">
        <w:r w:rsidRPr="00BD1769">
          <w:rPr>
            <w:rStyle w:val="Hiperpovezava"/>
            <w:noProof/>
          </w:rPr>
          <w:t>Strateške usmeritve</w:t>
        </w:r>
        <w:r>
          <w:rPr>
            <w:noProof/>
          </w:rPr>
          <w:tab/>
        </w:r>
        <w:r>
          <w:rPr>
            <w:noProof/>
          </w:rPr>
          <w:fldChar w:fldCharType="begin"/>
        </w:r>
        <w:r>
          <w:rPr>
            <w:noProof/>
          </w:rPr>
          <w:instrText xml:space="preserve"> PAGEREF _Toc242799381 \h </w:instrText>
        </w:r>
        <w:r>
          <w:rPr>
            <w:noProof/>
          </w:rPr>
        </w:r>
        <w:r>
          <w:rPr>
            <w:noProof/>
          </w:rPr>
          <w:fldChar w:fldCharType="separate"/>
        </w:r>
        <w:r>
          <w:rPr>
            <w:noProof/>
          </w:rPr>
          <w:t>20</w:t>
        </w:r>
        <w:r>
          <w:rPr>
            <w:noProof/>
          </w:rPr>
          <w:fldChar w:fldCharType="end"/>
        </w:r>
      </w:hyperlink>
    </w:p>
    <w:p w14:paraId="6787FEDF" w14:textId="1F039FE2"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82" w:history="1">
        <w:r w:rsidRPr="00BD1769">
          <w:rPr>
            <w:rStyle w:val="Hiperpovezava"/>
            <w:noProof/>
          </w:rPr>
          <w:t>KREPITEV TEHNOLOŠKE ODPORNOSTI IN OBVLADOVANJE PRIHODNJIH TEHNOLOGIJ</w:t>
        </w:r>
        <w:r>
          <w:rPr>
            <w:noProof/>
          </w:rPr>
          <w:tab/>
        </w:r>
        <w:r>
          <w:rPr>
            <w:noProof/>
          </w:rPr>
          <w:fldChar w:fldCharType="begin"/>
        </w:r>
        <w:r>
          <w:rPr>
            <w:noProof/>
          </w:rPr>
          <w:instrText xml:space="preserve"> PAGEREF _Toc242799382 \h </w:instrText>
        </w:r>
        <w:r>
          <w:rPr>
            <w:noProof/>
          </w:rPr>
        </w:r>
        <w:r>
          <w:rPr>
            <w:noProof/>
          </w:rPr>
          <w:fldChar w:fldCharType="separate"/>
        </w:r>
        <w:r>
          <w:rPr>
            <w:noProof/>
          </w:rPr>
          <w:t>21</w:t>
        </w:r>
        <w:r>
          <w:rPr>
            <w:noProof/>
          </w:rPr>
          <w:fldChar w:fldCharType="end"/>
        </w:r>
      </w:hyperlink>
    </w:p>
    <w:p w14:paraId="674998C9" w14:textId="0B6FA7B5"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83" w:history="1">
        <w:r w:rsidRPr="00BD1769">
          <w:rPr>
            <w:rStyle w:val="Hiperpovezava"/>
            <w:noProof/>
          </w:rPr>
          <w:t>Prehod na postkvantno kriptografijo</w:t>
        </w:r>
        <w:r>
          <w:rPr>
            <w:noProof/>
          </w:rPr>
          <w:tab/>
        </w:r>
        <w:r>
          <w:rPr>
            <w:noProof/>
          </w:rPr>
          <w:fldChar w:fldCharType="begin"/>
        </w:r>
        <w:r>
          <w:rPr>
            <w:noProof/>
          </w:rPr>
          <w:instrText xml:space="preserve"> PAGEREF _Toc242799383 \h </w:instrText>
        </w:r>
        <w:r>
          <w:rPr>
            <w:noProof/>
          </w:rPr>
        </w:r>
        <w:r>
          <w:rPr>
            <w:noProof/>
          </w:rPr>
          <w:fldChar w:fldCharType="separate"/>
        </w:r>
        <w:r>
          <w:rPr>
            <w:noProof/>
          </w:rPr>
          <w:t>21</w:t>
        </w:r>
        <w:r>
          <w:rPr>
            <w:noProof/>
          </w:rPr>
          <w:fldChar w:fldCharType="end"/>
        </w:r>
      </w:hyperlink>
    </w:p>
    <w:p w14:paraId="0D7746D1" w14:textId="66E52BCC"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84" w:history="1">
        <w:r w:rsidRPr="00BD1769">
          <w:rPr>
            <w:rStyle w:val="Hiperpovezava"/>
            <w:noProof/>
          </w:rPr>
          <w:t>Strateške usmeritve</w:t>
        </w:r>
        <w:r>
          <w:rPr>
            <w:noProof/>
          </w:rPr>
          <w:tab/>
        </w:r>
        <w:r>
          <w:rPr>
            <w:noProof/>
          </w:rPr>
          <w:fldChar w:fldCharType="begin"/>
        </w:r>
        <w:r>
          <w:rPr>
            <w:noProof/>
          </w:rPr>
          <w:instrText xml:space="preserve"> PAGEREF _Toc242799384 \h </w:instrText>
        </w:r>
        <w:r>
          <w:rPr>
            <w:noProof/>
          </w:rPr>
        </w:r>
        <w:r>
          <w:rPr>
            <w:noProof/>
          </w:rPr>
          <w:fldChar w:fldCharType="separate"/>
        </w:r>
        <w:r>
          <w:rPr>
            <w:noProof/>
          </w:rPr>
          <w:t>21</w:t>
        </w:r>
        <w:r>
          <w:rPr>
            <w:noProof/>
          </w:rPr>
          <w:fldChar w:fldCharType="end"/>
        </w:r>
      </w:hyperlink>
    </w:p>
    <w:p w14:paraId="33E473B4" w14:textId="7F55521B"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85" w:history="1">
        <w:r w:rsidRPr="00BD1769">
          <w:rPr>
            <w:rStyle w:val="Hiperpovezava"/>
            <w:noProof/>
          </w:rPr>
          <w:t>Varna in suverena raba umetne inteligence</w:t>
        </w:r>
        <w:r>
          <w:rPr>
            <w:noProof/>
          </w:rPr>
          <w:tab/>
        </w:r>
        <w:r>
          <w:rPr>
            <w:noProof/>
          </w:rPr>
          <w:fldChar w:fldCharType="begin"/>
        </w:r>
        <w:r>
          <w:rPr>
            <w:noProof/>
          </w:rPr>
          <w:instrText xml:space="preserve"> PAGEREF _Toc242799385 \h </w:instrText>
        </w:r>
        <w:r>
          <w:rPr>
            <w:noProof/>
          </w:rPr>
        </w:r>
        <w:r>
          <w:rPr>
            <w:noProof/>
          </w:rPr>
          <w:fldChar w:fldCharType="separate"/>
        </w:r>
        <w:r>
          <w:rPr>
            <w:noProof/>
          </w:rPr>
          <w:t>22</w:t>
        </w:r>
        <w:r>
          <w:rPr>
            <w:noProof/>
          </w:rPr>
          <w:fldChar w:fldCharType="end"/>
        </w:r>
      </w:hyperlink>
    </w:p>
    <w:p w14:paraId="5E378792" w14:textId="1B188AA0"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86" w:history="1">
        <w:r w:rsidRPr="00BD1769">
          <w:rPr>
            <w:rStyle w:val="Hiperpovezava"/>
            <w:noProof/>
          </w:rPr>
          <w:t>Strateške usmeritve</w:t>
        </w:r>
        <w:r>
          <w:rPr>
            <w:noProof/>
          </w:rPr>
          <w:tab/>
        </w:r>
        <w:r>
          <w:rPr>
            <w:noProof/>
          </w:rPr>
          <w:fldChar w:fldCharType="begin"/>
        </w:r>
        <w:r>
          <w:rPr>
            <w:noProof/>
          </w:rPr>
          <w:instrText xml:space="preserve"> PAGEREF _Toc242799386 \h </w:instrText>
        </w:r>
        <w:r>
          <w:rPr>
            <w:noProof/>
          </w:rPr>
        </w:r>
        <w:r>
          <w:rPr>
            <w:noProof/>
          </w:rPr>
          <w:fldChar w:fldCharType="separate"/>
        </w:r>
        <w:r>
          <w:rPr>
            <w:noProof/>
          </w:rPr>
          <w:t>22</w:t>
        </w:r>
        <w:r>
          <w:rPr>
            <w:noProof/>
          </w:rPr>
          <w:fldChar w:fldCharType="end"/>
        </w:r>
      </w:hyperlink>
    </w:p>
    <w:p w14:paraId="1358DB50" w14:textId="4616D86A"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87" w:history="1">
        <w:r w:rsidRPr="00BD1769">
          <w:rPr>
            <w:rStyle w:val="Hiperpovezava"/>
            <w:noProof/>
          </w:rPr>
          <w:t>MEDNARODNO SODELOVANJE IN MEDSEBOJNA POMOČ</w:t>
        </w:r>
        <w:r>
          <w:rPr>
            <w:noProof/>
          </w:rPr>
          <w:tab/>
        </w:r>
        <w:r>
          <w:rPr>
            <w:noProof/>
          </w:rPr>
          <w:fldChar w:fldCharType="begin"/>
        </w:r>
        <w:r>
          <w:rPr>
            <w:noProof/>
          </w:rPr>
          <w:instrText xml:space="preserve"> PAGEREF _Toc242799387 \h </w:instrText>
        </w:r>
        <w:r>
          <w:rPr>
            <w:noProof/>
          </w:rPr>
        </w:r>
        <w:r>
          <w:rPr>
            <w:noProof/>
          </w:rPr>
          <w:fldChar w:fldCharType="separate"/>
        </w:r>
        <w:r>
          <w:rPr>
            <w:noProof/>
          </w:rPr>
          <w:t>23</w:t>
        </w:r>
        <w:r>
          <w:rPr>
            <w:noProof/>
          </w:rPr>
          <w:fldChar w:fldCharType="end"/>
        </w:r>
      </w:hyperlink>
    </w:p>
    <w:p w14:paraId="52E2356C" w14:textId="473B9C19"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88" w:history="1">
        <w:r w:rsidRPr="00BD1769">
          <w:rPr>
            <w:rStyle w:val="Hiperpovezava"/>
            <w:noProof/>
          </w:rPr>
          <w:t>Strateške usmeritve</w:t>
        </w:r>
        <w:r>
          <w:rPr>
            <w:noProof/>
          </w:rPr>
          <w:tab/>
        </w:r>
        <w:r>
          <w:rPr>
            <w:noProof/>
          </w:rPr>
          <w:fldChar w:fldCharType="begin"/>
        </w:r>
        <w:r>
          <w:rPr>
            <w:noProof/>
          </w:rPr>
          <w:instrText xml:space="preserve"> PAGEREF _Toc242799388 \h </w:instrText>
        </w:r>
        <w:r>
          <w:rPr>
            <w:noProof/>
          </w:rPr>
        </w:r>
        <w:r>
          <w:rPr>
            <w:noProof/>
          </w:rPr>
          <w:fldChar w:fldCharType="separate"/>
        </w:r>
        <w:r>
          <w:rPr>
            <w:noProof/>
          </w:rPr>
          <w:t>23</w:t>
        </w:r>
        <w:r>
          <w:rPr>
            <w:noProof/>
          </w:rPr>
          <w:fldChar w:fldCharType="end"/>
        </w:r>
      </w:hyperlink>
    </w:p>
    <w:p w14:paraId="4B285443" w14:textId="39793226"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89" w:history="1">
        <w:r w:rsidRPr="00BD1769">
          <w:rPr>
            <w:rStyle w:val="Hiperpovezava"/>
            <w:noProof/>
          </w:rPr>
          <w:t>KIBERNETSKA VARNOST, ZASEBNOST IN ČLOVEKOVE PRAVICE</w:t>
        </w:r>
        <w:r>
          <w:rPr>
            <w:noProof/>
          </w:rPr>
          <w:tab/>
        </w:r>
        <w:r>
          <w:rPr>
            <w:noProof/>
          </w:rPr>
          <w:fldChar w:fldCharType="begin"/>
        </w:r>
        <w:r>
          <w:rPr>
            <w:noProof/>
          </w:rPr>
          <w:instrText xml:space="preserve"> PAGEREF _Toc242799389 \h </w:instrText>
        </w:r>
        <w:r>
          <w:rPr>
            <w:noProof/>
          </w:rPr>
        </w:r>
        <w:r>
          <w:rPr>
            <w:noProof/>
          </w:rPr>
          <w:fldChar w:fldCharType="separate"/>
        </w:r>
        <w:r>
          <w:rPr>
            <w:noProof/>
          </w:rPr>
          <w:t>24</w:t>
        </w:r>
        <w:r>
          <w:rPr>
            <w:noProof/>
          </w:rPr>
          <w:fldChar w:fldCharType="end"/>
        </w:r>
      </w:hyperlink>
    </w:p>
    <w:p w14:paraId="65357AFC" w14:textId="1AEF3D19"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0" w:history="1">
        <w:r w:rsidRPr="00BD1769">
          <w:rPr>
            <w:rStyle w:val="Hiperpovezava"/>
            <w:noProof/>
          </w:rPr>
          <w:t>Strateške usmeritve</w:t>
        </w:r>
        <w:r>
          <w:rPr>
            <w:noProof/>
          </w:rPr>
          <w:tab/>
        </w:r>
        <w:r>
          <w:rPr>
            <w:noProof/>
          </w:rPr>
          <w:fldChar w:fldCharType="begin"/>
        </w:r>
        <w:r>
          <w:rPr>
            <w:noProof/>
          </w:rPr>
          <w:instrText xml:space="preserve"> PAGEREF _Toc242799390 \h </w:instrText>
        </w:r>
        <w:r>
          <w:rPr>
            <w:noProof/>
          </w:rPr>
        </w:r>
        <w:r>
          <w:rPr>
            <w:noProof/>
          </w:rPr>
          <w:fldChar w:fldCharType="separate"/>
        </w:r>
        <w:r>
          <w:rPr>
            <w:noProof/>
          </w:rPr>
          <w:t>24</w:t>
        </w:r>
        <w:r>
          <w:rPr>
            <w:noProof/>
          </w:rPr>
          <w:fldChar w:fldCharType="end"/>
        </w:r>
      </w:hyperlink>
    </w:p>
    <w:p w14:paraId="4FBBFDEC" w14:textId="2A7D07E6"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91" w:history="1">
        <w:r w:rsidRPr="00BD1769">
          <w:rPr>
            <w:rStyle w:val="Hiperpovezava"/>
            <w:noProof/>
          </w:rPr>
          <w:t>MEHANIZEM ZA OPREDELITEV USTREZNIH VIROV IN OCENO TVEGANJ</w:t>
        </w:r>
        <w:r>
          <w:rPr>
            <w:noProof/>
          </w:rPr>
          <w:tab/>
        </w:r>
        <w:r>
          <w:rPr>
            <w:noProof/>
          </w:rPr>
          <w:fldChar w:fldCharType="begin"/>
        </w:r>
        <w:r>
          <w:rPr>
            <w:noProof/>
          </w:rPr>
          <w:instrText xml:space="preserve"> PAGEREF _Toc242799391 \h </w:instrText>
        </w:r>
        <w:r>
          <w:rPr>
            <w:noProof/>
          </w:rPr>
        </w:r>
        <w:r>
          <w:rPr>
            <w:noProof/>
          </w:rPr>
          <w:fldChar w:fldCharType="separate"/>
        </w:r>
        <w:r>
          <w:rPr>
            <w:noProof/>
          </w:rPr>
          <w:t>25</w:t>
        </w:r>
        <w:r>
          <w:rPr>
            <w:noProof/>
          </w:rPr>
          <w:fldChar w:fldCharType="end"/>
        </w:r>
      </w:hyperlink>
    </w:p>
    <w:p w14:paraId="7A09218B" w14:textId="613847EF"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2" w:history="1">
        <w:r w:rsidRPr="00BD1769">
          <w:rPr>
            <w:rStyle w:val="Hiperpovezava"/>
            <w:noProof/>
          </w:rPr>
          <w:t>Zagotavljanje virov za izvajanje strategije</w:t>
        </w:r>
        <w:r>
          <w:rPr>
            <w:noProof/>
          </w:rPr>
          <w:tab/>
        </w:r>
        <w:r>
          <w:rPr>
            <w:noProof/>
          </w:rPr>
          <w:fldChar w:fldCharType="begin"/>
        </w:r>
        <w:r>
          <w:rPr>
            <w:noProof/>
          </w:rPr>
          <w:instrText xml:space="preserve"> PAGEREF _Toc242799392 \h </w:instrText>
        </w:r>
        <w:r>
          <w:rPr>
            <w:noProof/>
          </w:rPr>
        </w:r>
        <w:r>
          <w:rPr>
            <w:noProof/>
          </w:rPr>
          <w:fldChar w:fldCharType="separate"/>
        </w:r>
        <w:r>
          <w:rPr>
            <w:noProof/>
          </w:rPr>
          <w:t>25</w:t>
        </w:r>
        <w:r>
          <w:rPr>
            <w:noProof/>
          </w:rPr>
          <w:fldChar w:fldCharType="end"/>
        </w:r>
      </w:hyperlink>
    </w:p>
    <w:p w14:paraId="4B58D765" w14:textId="149B9387" w:rsidR="005E7154" w:rsidRDefault="005E7154">
      <w:pPr>
        <w:pStyle w:val="Kazalovsebine3"/>
        <w:tabs>
          <w:tab w:val="right" w:leader="dot" w:pos="9496"/>
        </w:tabs>
        <w:rPr>
          <w:rFonts w:asciiTheme="minorHAnsi" w:eastAsiaTheme="minorEastAsia" w:hAnsiTheme="minorHAnsi" w:cstheme="minorBidi"/>
          <w:noProof/>
          <w:kern w:val="2"/>
          <w:sz w:val="24"/>
          <w:szCs w:val="24"/>
          <w14:ligatures w14:val="standardContextual"/>
        </w:rPr>
      </w:pPr>
      <w:hyperlink w:anchor="_Toc242799393" w:history="1">
        <w:r w:rsidRPr="00BD1769">
          <w:rPr>
            <w:rStyle w:val="Hiperpovezava"/>
            <w:noProof/>
          </w:rPr>
          <w:t>Strateška usmeritev</w:t>
        </w:r>
        <w:r>
          <w:rPr>
            <w:noProof/>
          </w:rPr>
          <w:tab/>
        </w:r>
        <w:r>
          <w:rPr>
            <w:noProof/>
          </w:rPr>
          <w:fldChar w:fldCharType="begin"/>
        </w:r>
        <w:r>
          <w:rPr>
            <w:noProof/>
          </w:rPr>
          <w:instrText xml:space="preserve"> PAGEREF _Toc242799393 \h </w:instrText>
        </w:r>
        <w:r>
          <w:rPr>
            <w:noProof/>
          </w:rPr>
        </w:r>
        <w:r>
          <w:rPr>
            <w:noProof/>
          </w:rPr>
          <w:fldChar w:fldCharType="separate"/>
        </w:r>
        <w:r>
          <w:rPr>
            <w:noProof/>
          </w:rPr>
          <w:t>25</w:t>
        </w:r>
        <w:r>
          <w:rPr>
            <w:noProof/>
          </w:rPr>
          <w:fldChar w:fldCharType="end"/>
        </w:r>
      </w:hyperlink>
    </w:p>
    <w:p w14:paraId="2A4C07F2" w14:textId="14403124"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4" w:history="1">
        <w:r w:rsidRPr="00BD1769">
          <w:rPr>
            <w:rStyle w:val="Hiperpovezava"/>
            <w:noProof/>
          </w:rPr>
          <w:t>Opredelitev ustreznih virov</w:t>
        </w:r>
        <w:r>
          <w:rPr>
            <w:noProof/>
          </w:rPr>
          <w:tab/>
        </w:r>
        <w:r>
          <w:rPr>
            <w:noProof/>
          </w:rPr>
          <w:fldChar w:fldCharType="begin"/>
        </w:r>
        <w:r>
          <w:rPr>
            <w:noProof/>
          </w:rPr>
          <w:instrText xml:space="preserve"> PAGEREF _Toc242799394 \h </w:instrText>
        </w:r>
        <w:r>
          <w:rPr>
            <w:noProof/>
          </w:rPr>
        </w:r>
        <w:r>
          <w:rPr>
            <w:noProof/>
          </w:rPr>
          <w:fldChar w:fldCharType="separate"/>
        </w:r>
        <w:r>
          <w:rPr>
            <w:noProof/>
          </w:rPr>
          <w:t>26</w:t>
        </w:r>
        <w:r>
          <w:rPr>
            <w:noProof/>
          </w:rPr>
          <w:fldChar w:fldCharType="end"/>
        </w:r>
      </w:hyperlink>
    </w:p>
    <w:p w14:paraId="41D9A8FA" w14:textId="7B3CBA38"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5" w:history="1">
        <w:r w:rsidRPr="00BD1769">
          <w:rPr>
            <w:rStyle w:val="Hiperpovezava"/>
            <w:noProof/>
          </w:rPr>
          <w:t>Okvir ocene ogroženosti</w:t>
        </w:r>
        <w:r>
          <w:rPr>
            <w:noProof/>
          </w:rPr>
          <w:tab/>
        </w:r>
        <w:r>
          <w:rPr>
            <w:noProof/>
          </w:rPr>
          <w:fldChar w:fldCharType="begin"/>
        </w:r>
        <w:r>
          <w:rPr>
            <w:noProof/>
          </w:rPr>
          <w:instrText xml:space="preserve"> PAGEREF _Toc242799395 \h </w:instrText>
        </w:r>
        <w:r>
          <w:rPr>
            <w:noProof/>
          </w:rPr>
        </w:r>
        <w:r>
          <w:rPr>
            <w:noProof/>
          </w:rPr>
          <w:fldChar w:fldCharType="separate"/>
        </w:r>
        <w:r>
          <w:rPr>
            <w:noProof/>
          </w:rPr>
          <w:t>26</w:t>
        </w:r>
        <w:r>
          <w:rPr>
            <w:noProof/>
          </w:rPr>
          <w:fldChar w:fldCharType="end"/>
        </w:r>
      </w:hyperlink>
    </w:p>
    <w:p w14:paraId="56346565" w14:textId="7ADC4054" w:rsidR="005E7154" w:rsidRDefault="005E7154">
      <w:pPr>
        <w:pStyle w:val="Kazalovsebine1"/>
        <w:tabs>
          <w:tab w:val="right" w:leader="dot" w:pos="9496"/>
        </w:tabs>
        <w:rPr>
          <w:rFonts w:asciiTheme="minorHAnsi" w:eastAsiaTheme="minorEastAsia" w:hAnsiTheme="minorHAnsi" w:cstheme="minorBidi"/>
          <w:noProof/>
          <w:kern w:val="2"/>
          <w:sz w:val="24"/>
          <w:szCs w:val="24"/>
          <w14:ligatures w14:val="standardContextual"/>
        </w:rPr>
      </w:pPr>
      <w:hyperlink w:anchor="_Toc242799396" w:history="1">
        <w:r w:rsidRPr="00BD1769">
          <w:rPr>
            <w:rStyle w:val="Hiperpovezava"/>
            <w:noProof/>
          </w:rPr>
          <w:t>SPREMLJANJE, VREDNOTENJE IN POSODABLJANJE STRATEGIJE</w:t>
        </w:r>
        <w:r>
          <w:rPr>
            <w:noProof/>
          </w:rPr>
          <w:tab/>
        </w:r>
        <w:r>
          <w:rPr>
            <w:noProof/>
          </w:rPr>
          <w:fldChar w:fldCharType="begin"/>
        </w:r>
        <w:r>
          <w:rPr>
            <w:noProof/>
          </w:rPr>
          <w:instrText xml:space="preserve"> PAGEREF _Toc242799396 \h </w:instrText>
        </w:r>
        <w:r>
          <w:rPr>
            <w:noProof/>
          </w:rPr>
        </w:r>
        <w:r>
          <w:rPr>
            <w:noProof/>
          </w:rPr>
          <w:fldChar w:fldCharType="separate"/>
        </w:r>
        <w:r>
          <w:rPr>
            <w:noProof/>
          </w:rPr>
          <w:t>27</w:t>
        </w:r>
        <w:r>
          <w:rPr>
            <w:noProof/>
          </w:rPr>
          <w:fldChar w:fldCharType="end"/>
        </w:r>
      </w:hyperlink>
    </w:p>
    <w:p w14:paraId="3322C715" w14:textId="13253450"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7" w:history="1">
        <w:r w:rsidRPr="00BD1769">
          <w:rPr>
            <w:rStyle w:val="Hiperpovezava"/>
            <w:noProof/>
          </w:rPr>
          <w:t>Strateške usmeritve</w:t>
        </w:r>
        <w:r>
          <w:rPr>
            <w:noProof/>
          </w:rPr>
          <w:tab/>
        </w:r>
        <w:r>
          <w:rPr>
            <w:noProof/>
          </w:rPr>
          <w:fldChar w:fldCharType="begin"/>
        </w:r>
        <w:r>
          <w:rPr>
            <w:noProof/>
          </w:rPr>
          <w:instrText xml:space="preserve"> PAGEREF _Toc242799397 \h </w:instrText>
        </w:r>
        <w:r>
          <w:rPr>
            <w:noProof/>
          </w:rPr>
        </w:r>
        <w:r>
          <w:rPr>
            <w:noProof/>
          </w:rPr>
          <w:fldChar w:fldCharType="separate"/>
        </w:r>
        <w:r>
          <w:rPr>
            <w:noProof/>
          </w:rPr>
          <w:t>27</w:t>
        </w:r>
        <w:r>
          <w:rPr>
            <w:noProof/>
          </w:rPr>
          <w:fldChar w:fldCharType="end"/>
        </w:r>
      </w:hyperlink>
    </w:p>
    <w:p w14:paraId="583C3FFA" w14:textId="6B4BA75A" w:rsidR="005E7154" w:rsidRDefault="005E7154">
      <w:pPr>
        <w:pStyle w:val="Kazalovsebine2"/>
        <w:tabs>
          <w:tab w:val="right" w:leader="dot" w:pos="9496"/>
        </w:tabs>
        <w:rPr>
          <w:rFonts w:asciiTheme="minorHAnsi" w:eastAsiaTheme="minorEastAsia" w:hAnsiTheme="minorHAnsi" w:cstheme="minorBidi"/>
          <w:noProof/>
          <w:kern w:val="2"/>
          <w:sz w:val="24"/>
          <w:szCs w:val="24"/>
          <w14:ligatures w14:val="standardContextual"/>
        </w:rPr>
      </w:pPr>
      <w:hyperlink w:anchor="_Toc242799398" w:history="1">
        <w:r w:rsidRPr="00BD1769">
          <w:rPr>
            <w:rStyle w:val="Hiperpovezava"/>
            <w:noProof/>
          </w:rPr>
          <w:t>Zunanje merilo zrelosti</w:t>
        </w:r>
        <w:r>
          <w:rPr>
            <w:noProof/>
          </w:rPr>
          <w:tab/>
        </w:r>
        <w:r>
          <w:rPr>
            <w:noProof/>
          </w:rPr>
          <w:fldChar w:fldCharType="begin"/>
        </w:r>
        <w:r>
          <w:rPr>
            <w:noProof/>
          </w:rPr>
          <w:instrText xml:space="preserve"> PAGEREF _Toc242799398 \h </w:instrText>
        </w:r>
        <w:r>
          <w:rPr>
            <w:noProof/>
          </w:rPr>
        </w:r>
        <w:r>
          <w:rPr>
            <w:noProof/>
          </w:rPr>
          <w:fldChar w:fldCharType="separate"/>
        </w:r>
        <w:r>
          <w:rPr>
            <w:noProof/>
          </w:rPr>
          <w:t>27</w:t>
        </w:r>
        <w:r>
          <w:rPr>
            <w:noProof/>
          </w:rPr>
          <w:fldChar w:fldCharType="end"/>
        </w:r>
      </w:hyperlink>
    </w:p>
    <w:p w14:paraId="4BE91453" w14:textId="1A6F4160" w:rsidR="00DD576A" w:rsidRDefault="00DD576A" w:rsidP="00DD576A">
      <w:pPr>
        <w:rPr>
          <w:kern w:val="2"/>
          <w14:ligatures w14:val="standardContextual"/>
        </w:rPr>
      </w:pPr>
      <w:r>
        <w:rPr>
          <w:kern w:val="2"/>
          <w14:ligatures w14:val="standardContextual"/>
        </w:rPr>
        <w:fldChar w:fldCharType="end"/>
      </w:r>
    </w:p>
    <w:p w14:paraId="6D587003" w14:textId="77777777" w:rsidR="00DD576A" w:rsidRDefault="00DD576A" w:rsidP="00DD576A">
      <w:pPr>
        <w:rPr>
          <w:kern w:val="2"/>
          <w:sz w:val="2"/>
          <w:szCs w:val="2"/>
          <w14:ligatures w14:val="standardContextual"/>
        </w:rPr>
      </w:pPr>
      <w:r>
        <w:rPr>
          <w:sz w:val="2"/>
          <w:szCs w:val="2"/>
        </w:rPr>
        <w:t>​</w:t>
      </w:r>
    </w:p>
    <w:p w14:paraId="2E4E6A8E" w14:textId="13C60842" w:rsidR="00D50F20" w:rsidRPr="00D2042E" w:rsidRDefault="00D50F20">
      <w:pPr>
        <w:rPr>
          <w:kern w:val="2"/>
          <w:sz w:val="2"/>
          <w:szCs w:val="2"/>
          <w14:ligatures w14:val="standardContextual"/>
        </w:rPr>
      </w:pPr>
    </w:p>
    <w:p w14:paraId="4531517B" w14:textId="77777777" w:rsidR="00D50F20" w:rsidRPr="00D2042E" w:rsidRDefault="00126A65">
      <w:r w:rsidRPr="00D2042E">
        <w:br w:type="page"/>
      </w:r>
    </w:p>
    <w:p w14:paraId="100FA6C4" w14:textId="77777777" w:rsidR="00D50F20" w:rsidRPr="00D2042E" w:rsidRDefault="00126A65">
      <w:pPr>
        <w:pStyle w:val="Naslov1"/>
        <w:rPr>
          <w:color w:val="auto"/>
        </w:rPr>
      </w:pPr>
      <w:bookmarkStart w:id="0" w:name="_Toc241499664"/>
      <w:bookmarkStart w:id="1" w:name="_Toc241499915"/>
      <w:bookmarkStart w:id="2" w:name="_Toc241500201"/>
      <w:bookmarkStart w:id="3" w:name="_Toc242102241"/>
      <w:bookmarkStart w:id="4" w:name="_Toc242102335"/>
      <w:bookmarkStart w:id="5" w:name="_Toc242128610"/>
      <w:bookmarkStart w:id="6" w:name="_Toc242128704"/>
      <w:bookmarkStart w:id="7" w:name="_Toc242364354"/>
      <w:bookmarkStart w:id="8" w:name="_Toc242799355"/>
      <w:r w:rsidRPr="00D2042E">
        <w:rPr>
          <w:color w:val="auto"/>
        </w:rPr>
        <w:lastRenderedPageBreak/>
        <w:t>POVZETEK</w:t>
      </w:r>
      <w:bookmarkEnd w:id="0"/>
      <w:bookmarkEnd w:id="1"/>
      <w:bookmarkEnd w:id="2"/>
      <w:bookmarkEnd w:id="3"/>
      <w:bookmarkEnd w:id="4"/>
      <w:bookmarkEnd w:id="5"/>
      <w:bookmarkEnd w:id="6"/>
      <w:bookmarkEnd w:id="7"/>
      <w:bookmarkEnd w:id="8"/>
    </w:p>
    <w:p w14:paraId="4CCEED37" w14:textId="4ADAD77E" w:rsidR="00D50F20" w:rsidRPr="00D2042E" w:rsidRDefault="00126A65">
      <w:pPr>
        <w:pStyle w:val="Navaden2"/>
        <w:spacing w:after="140" w:line="300" w:lineRule="auto"/>
        <w:jc w:val="both"/>
      </w:pPr>
      <w:r w:rsidRPr="00D2042E">
        <w:t xml:space="preserve">Strategija kibernetske varnosti Republike Slovenije 2027–2035 (v nadaljnjem besedilu: strategija) v razmerah nenehnih sprememb v kibernetskem prostoru temelji na proaktivnem delovanju vseh </w:t>
      </w:r>
      <w:proofErr w:type="gramStart"/>
      <w:r w:rsidRPr="00D2042E">
        <w:t>akterjev</w:t>
      </w:r>
      <w:proofErr w:type="gramEnd"/>
      <w:r w:rsidRPr="00D2042E">
        <w:t xml:space="preserve"> in poudarja nujnost njihovega sodelovanja. Število priglašenih varnostnih dogodkov in kibernetskih incidentov kaže na obseg zaznanih in prijavljenih primerov. Leta 2023 je bilo skupinama SI-CERT in SIGOV-CERT skupaj priglašenih 3.227 varnostnih dogodkov in kibernetskih incidentov, leta 2024 5.008, leta 2025 pa 5.191. Število priglašenih primerov se je tako med letoma 2023 in 2025 povečalo za 1.964 primerov oziroma 60,9</w:t>
      </w:r>
      <w:proofErr w:type="gramStart"/>
      <w:r w:rsidRPr="00D2042E">
        <w:t xml:space="preserve"> %</w:t>
      </w:r>
      <w:proofErr w:type="gramEnd"/>
      <w:r w:rsidRPr="00D2042E">
        <w:t>. Na razlago trenda vplivajo tudi spremembe zaznavanja, poročanja in obsega zavezancev, zato sam po sebi ne dokazuje sorazmernega povečanja groženj. Navedeni podatki podpirajo potrebo po nadaljnjem razvoju nacionalnih zmogljivosti za preprečevanje, zgodnje zaznavanje, obravnavo in koordinirano odzivanje na kibernetske incidente.</w:t>
      </w:r>
    </w:p>
    <w:p w14:paraId="792AAF67" w14:textId="347BBB8F" w:rsidR="00D50F20" w:rsidRPr="00D2042E" w:rsidRDefault="00126A65">
      <w:pPr>
        <w:spacing w:after="140" w:line="300" w:lineRule="auto"/>
        <w:jc w:val="both"/>
      </w:pPr>
      <w:r w:rsidRPr="00D2042E">
        <w:t xml:space="preserve">Pretekli varnostni pristopi, usmerjeni predvsem v zaščito pred znanimi grožnjami, ne zadoščajo več. Novo regulativno okolje, ki ga določata </w:t>
      </w:r>
      <w:proofErr w:type="gramStart"/>
      <w:r w:rsidR="006B2A8C" w:rsidRPr="00D2042E">
        <w:t>D</w:t>
      </w:r>
      <w:r w:rsidRPr="00D2042E">
        <w:t>irektiva</w:t>
      </w:r>
      <w:proofErr w:type="gramEnd"/>
      <w:r w:rsidRPr="00D2042E">
        <w:t xml:space="preserve"> (EU) 2022/2555 Evropskega parlamenta in Sveta z dne 14. decembra 2022 o ukrepih za visoko skupno raven kibernetske varnosti v Uniji, spremembi Uredbe (EU) št. 910/2014 in Direktive (EU) 2018/1972 ter razveljavitvi Direktive (EU) 2016/1148 (v nadaljnjem besedilu: direktiva NIS2) in Zakon o informacijski varnosti (Uradni list RS, št. 40/25; v nadaljnjem besedilu: ZInfV-1), zahteva učinkovitejše obvladovanje kibernetskih tveganj, hitro in podrobno poročanje o incidentih ter tesnejše sodelovanje in izmenjavo informacij. Strategija zato krepi koordinacijo med deležniki v Republiki Sloveniji ter sodelovanje med javnim in zasebnim sektorjem, državnimi organi in mednarodnimi partnerji. Osrednji element strategije je nenehno izboljševanje varnostnih procesov. Kibernetska varnost ni več zgolj odzivanje na incidente, temveč stalen proces prilagajanja dinamičnim in kompleksnejšim grožnjam. Strategija zato posebno pozornost namenja ozaveščanju o kibernetski varnosti ter krepitvi zmogljivosti za učinkovito zaznavanje incidentov, odzivanje nanje in okrevanje po njih. Hkrati obravnava neposredne potrebe po zagotavljanju učinkovitega odziva na incidente in po dolgoročni krepitvi odpornosti digitalnega okolja, kadrovskih zmogljivosti, zaupanja in sodelovanja med deležniki.</w:t>
      </w:r>
    </w:p>
    <w:p w14:paraId="7597ED7D" w14:textId="100C157B" w:rsidR="00D50F20" w:rsidRPr="00D2042E" w:rsidRDefault="00126A65">
      <w:pPr>
        <w:spacing w:after="140" w:line="300" w:lineRule="auto"/>
        <w:jc w:val="both"/>
      </w:pPr>
      <w:r w:rsidRPr="00D2042E">
        <w:t>Na tej podlagi strategija določa štiri strateške cilje:</w:t>
      </w:r>
    </w:p>
    <w:p w14:paraId="607EC3FA" w14:textId="31AB71D4" w:rsidR="00D50F20" w:rsidRPr="00D2042E" w:rsidRDefault="00126A65">
      <w:pPr>
        <w:pStyle w:val="Odstavekseznama"/>
        <w:numPr>
          <w:ilvl w:val="0"/>
          <w:numId w:val="2"/>
        </w:numPr>
        <w:spacing w:after="70" w:line="280" w:lineRule="auto"/>
        <w:jc w:val="both"/>
      </w:pPr>
      <w:r w:rsidRPr="00D2042E">
        <w:t>krepitev nacionalnega sistema kibernetske varnosti,</w:t>
      </w:r>
    </w:p>
    <w:p w14:paraId="7A31397D" w14:textId="77777777" w:rsidR="00D50F20" w:rsidRPr="00D2042E" w:rsidRDefault="00126A65">
      <w:pPr>
        <w:pStyle w:val="Odstavekseznama"/>
        <w:numPr>
          <w:ilvl w:val="0"/>
          <w:numId w:val="2"/>
        </w:numPr>
        <w:spacing w:after="70" w:line="280" w:lineRule="auto"/>
        <w:jc w:val="both"/>
      </w:pPr>
      <w:r w:rsidRPr="00D2042E">
        <w:t>krepitev odpornosti družbe v kibernetskem prostoru,</w:t>
      </w:r>
    </w:p>
    <w:p w14:paraId="4D777149" w14:textId="77777777" w:rsidR="00D50F20" w:rsidRPr="00D2042E" w:rsidRDefault="00126A65">
      <w:pPr>
        <w:pStyle w:val="Odstavekseznama"/>
        <w:numPr>
          <w:ilvl w:val="0"/>
          <w:numId w:val="2"/>
        </w:numPr>
        <w:spacing w:after="70" w:line="280" w:lineRule="auto"/>
        <w:jc w:val="both"/>
      </w:pPr>
      <w:r w:rsidRPr="00D2042E">
        <w:t>krepitev boja proti kibernetskemu kriminalu,</w:t>
      </w:r>
    </w:p>
    <w:p w14:paraId="4D5C9A29" w14:textId="77777777" w:rsidR="00D50F20" w:rsidRPr="00D2042E" w:rsidRDefault="00126A65">
      <w:pPr>
        <w:pStyle w:val="Odstavekseznama"/>
        <w:numPr>
          <w:ilvl w:val="0"/>
          <w:numId w:val="2"/>
        </w:numPr>
        <w:spacing w:after="70" w:line="280" w:lineRule="auto"/>
        <w:jc w:val="both"/>
      </w:pPr>
      <w:r w:rsidRPr="00D2042E">
        <w:t>krepitev tehnološke odpornosti in obvladovanje prihodnjih tehnologij.</w:t>
      </w:r>
    </w:p>
    <w:p w14:paraId="57A36169" w14:textId="196C7B8A" w:rsidR="00D50F20" w:rsidRPr="00D2042E" w:rsidRDefault="00126A65">
      <w:pPr>
        <w:pStyle w:val="Navaden1"/>
        <w:spacing w:after="140" w:line="300" w:lineRule="auto"/>
        <w:rPr>
          <w:color w:val="auto"/>
        </w:rPr>
      </w:pPr>
      <w:r w:rsidRPr="00D2042E">
        <w:rPr>
          <w:color w:val="auto"/>
        </w:rPr>
        <w:t>Strategija določa temeljne usmeritve in potrebne ukrepe na strateški ravni. Akcijski načrt za izvajanje Strategije kibernetske varnosti Republike Slovenije 2027–2035 pa določa izvedbeno razčlenitev ukrepov, njihove nosilce, sodelujoče deležnike, roke izvedbe in vire financiranja. Opredeljuje tudi finančne in kadrovske posledice ter ključne kazalnike uspešnosti z viri podatkov in obdobji njihovega zajema. Sprejme ga Vlada Republike Slovenije kot izvedbeni dokument strategije.</w:t>
      </w:r>
    </w:p>
    <w:p w14:paraId="273B5D4F" w14:textId="5346FF67" w:rsidR="00D50F20" w:rsidRPr="00D2042E" w:rsidRDefault="00126A65">
      <w:pPr>
        <w:spacing w:after="140" w:line="300" w:lineRule="auto"/>
        <w:jc w:val="both"/>
      </w:pPr>
      <w:r w:rsidRPr="00D2042E">
        <w:t xml:space="preserve">Prvi akcijski načrt se predloži Vladi Republike Slovenije v sprejem najpozneje v šestih mesecih po sprejetju strategije. Zajema prvo triletno izvedbeno obdobje, njegovo izvajanje pa se preverja najmanj enkrat letno. Vsak ukrep ima vodilnega nosilca, sodelujoče organe in institucije, rok izvedbe, pričakovani rezultat, izhodiščno in ciljno vrednost kazalnika ter potrebne in zagotovljene vire. Vrzel med potrebnimi in </w:t>
      </w:r>
      <w:r w:rsidRPr="00D2042E">
        <w:lastRenderedPageBreak/>
        <w:t xml:space="preserve">zagotovljenimi finančnimi </w:t>
      </w:r>
      <w:r w:rsidR="00CA4E85" w:rsidRPr="00D2042E">
        <w:t xml:space="preserve">ter </w:t>
      </w:r>
      <w:r w:rsidRPr="00D2042E">
        <w:t>kadrovskimi viri se izrecno prikaže skupaj s predlogom za njeno odpravo in oceno posledic za izvedbo ukrepa.</w:t>
      </w:r>
    </w:p>
    <w:p w14:paraId="3FE6B91D" w14:textId="77777777" w:rsidR="00D50F20" w:rsidRPr="00D2042E" w:rsidRDefault="00126A65">
      <w:r w:rsidRPr="00D2042E">
        <w:br w:type="page"/>
      </w:r>
    </w:p>
    <w:p w14:paraId="1158741D" w14:textId="77777777" w:rsidR="00D50F20" w:rsidRPr="00D2042E" w:rsidRDefault="00126A65">
      <w:pPr>
        <w:pStyle w:val="Naslov1"/>
        <w:rPr>
          <w:color w:val="auto"/>
        </w:rPr>
      </w:pPr>
      <w:bookmarkStart w:id="9" w:name="_Toc241499665"/>
      <w:bookmarkStart w:id="10" w:name="_Toc241499916"/>
      <w:bookmarkStart w:id="11" w:name="_Toc241500202"/>
      <w:bookmarkStart w:id="12" w:name="_Toc242102242"/>
      <w:bookmarkStart w:id="13" w:name="_Toc242102336"/>
      <w:bookmarkStart w:id="14" w:name="_Toc242128611"/>
      <w:bookmarkStart w:id="15" w:name="_Toc242128705"/>
      <w:bookmarkStart w:id="16" w:name="_Toc242364355"/>
      <w:bookmarkStart w:id="17" w:name="_Toc242799356"/>
      <w:r w:rsidRPr="00D2042E">
        <w:rPr>
          <w:color w:val="auto"/>
        </w:rPr>
        <w:lastRenderedPageBreak/>
        <w:t>UVOD</w:t>
      </w:r>
      <w:bookmarkEnd w:id="9"/>
      <w:bookmarkEnd w:id="10"/>
      <w:bookmarkEnd w:id="11"/>
      <w:bookmarkEnd w:id="12"/>
      <w:bookmarkEnd w:id="13"/>
      <w:bookmarkEnd w:id="14"/>
      <w:bookmarkEnd w:id="15"/>
      <w:bookmarkEnd w:id="16"/>
      <w:bookmarkEnd w:id="17"/>
    </w:p>
    <w:p w14:paraId="43BFAEC2" w14:textId="69778C5C" w:rsidR="00D50F20" w:rsidRPr="00D2042E" w:rsidRDefault="00126A65">
      <w:pPr>
        <w:pStyle w:val="Navaden1"/>
        <w:spacing w:after="140" w:line="300" w:lineRule="auto"/>
        <w:rPr>
          <w:color w:val="auto"/>
        </w:rPr>
      </w:pPr>
      <w:r w:rsidRPr="00D2042E">
        <w:rPr>
          <w:color w:val="auto"/>
        </w:rPr>
        <w:t xml:space="preserve">Republika Slovenija je leta 2016 sprejela prvo Strategijo kibernetske varnosti Republike Slovenije, s katero je določila vizijo razvoja in sistemske ureditve nacionalnega sistema zagotavljanja kibernetske varnosti. Spremenjene varnostne razmere v mednarodnem okolju, pojav novih in vse kompleksnejših kibernetskih groženj, hiter tehnološki razvoj ter obsežne spremembe pravnega okvira na nacionalni ravni in ravni Evropske unije so v preteklem desetletju ustvarili potrebo po posodobitvi vizije, strateških ciljev in ukrepov za zagotavljanje kibernetske varnosti v Republiki Sloveniji. </w:t>
      </w:r>
      <w:proofErr w:type="gramStart"/>
      <w:r w:rsidRPr="00D2042E">
        <w:rPr>
          <w:color w:val="auto"/>
        </w:rPr>
        <w:t>Direktiva</w:t>
      </w:r>
      <w:proofErr w:type="gramEnd"/>
      <w:r w:rsidRPr="00D2042E">
        <w:rPr>
          <w:color w:val="auto"/>
        </w:rPr>
        <w:t xml:space="preserve"> NIS2, njen prenos v nacionalni pravni red z ZInfV-1 in drugi relevantni pravni akti Evropske unije, zlasti Akt o kibernetski odpornosti, Akt o kibernetski varnosti in Akt o kibernetski solidarnosti, pomembno spreminjajo evropski okvir kibernetske varnosti. Navedene spremembe skupaj z izkušnjami preteklega desetletja narekujejo celovito prenovo strategije, prilagojeno sodobnim varnostnim in tehnološkim izzivom ter usklajeno z evropskim pravnim in strateškim okvirom.</w:t>
      </w:r>
    </w:p>
    <w:p w14:paraId="7D342355" w14:textId="00E8C7CD" w:rsidR="00D50F20" w:rsidRPr="00D2042E" w:rsidRDefault="00126A65">
      <w:pPr>
        <w:pStyle w:val="Navaden1"/>
        <w:spacing w:after="140" w:line="300" w:lineRule="auto"/>
        <w:rPr>
          <w:color w:val="auto"/>
        </w:rPr>
      </w:pPr>
      <w:r w:rsidRPr="00D2042E">
        <w:rPr>
          <w:color w:val="auto"/>
        </w:rPr>
        <w:t xml:space="preserve">Od leta 2016 je Republika Slovenija dosegla pomemben napredek na področju kibernetske varnosti. Okrepila je nacionalne zmogljivosti za preprečevanje in zaznavanje incidentov ter odzivanje nanje, izboljšala medresorsko sodelovanje ter povečala ozaveščenost ključnih deležnikov. Krepitev in nadaljnja institucionalna umestitev skupin CSIRT ter sodelovanje Republike Slovenije v mednarodnih kibernetskih vajah so pomembno prispevali k večji pripravljenosti in odpornosti na kibernetske grožnje. Uvedene so bile dodatne varnostne zahteve za </w:t>
      </w:r>
      <w:proofErr w:type="gramStart"/>
      <w:r w:rsidRPr="00D2042E">
        <w:rPr>
          <w:color w:val="auto"/>
        </w:rPr>
        <w:t>kritično infrastrukturo</w:t>
      </w:r>
      <w:proofErr w:type="gramEnd"/>
      <w:r w:rsidRPr="00D2042E">
        <w:rPr>
          <w:color w:val="auto"/>
        </w:rPr>
        <w:t xml:space="preserve">, nadgrajeni protokoli za odzivanje na incidente ter uvedene nove varnostne rešitve v javni upravi in gospodarstvu. Okrepljeno je bilo sodelovanje z Evropsko unijo in državami članicami Organizacije Severnoatlantske pogodbe (NATO), Agencijo Evropske unije za kibernetsko varnost (ENISA), Evropskim kompetenčnim </w:t>
      </w:r>
      <w:proofErr w:type="gramStart"/>
      <w:r w:rsidRPr="00D2042E">
        <w:rPr>
          <w:color w:val="auto"/>
        </w:rPr>
        <w:t>centrom</w:t>
      </w:r>
      <w:proofErr w:type="gramEnd"/>
      <w:r w:rsidRPr="00D2042E">
        <w:rPr>
          <w:color w:val="auto"/>
        </w:rPr>
        <w:t xml:space="preserve"> za kibernetsko varnost ter drugimi partnerskimi državami in organizacijami. </w:t>
      </w:r>
    </w:p>
    <w:p w14:paraId="2BC08EC0" w14:textId="058A3F7F" w:rsidR="00D50F20" w:rsidRPr="00D2042E" w:rsidRDefault="00126A65">
      <w:pPr>
        <w:pStyle w:val="Navaden1"/>
        <w:spacing w:after="140" w:line="300" w:lineRule="auto"/>
        <w:rPr>
          <w:color w:val="auto"/>
          <w:sz w:val="24"/>
          <w:szCs w:val="24"/>
        </w:rPr>
      </w:pPr>
      <w:r w:rsidRPr="00D2042E">
        <w:rPr>
          <w:color w:val="auto"/>
        </w:rPr>
        <w:t>Ta strategija določa usmeritve Republike Slovenije za obdobje 2027–2035. Nadgrajuje ter utrjuje temelje, postavljene s strategijo iz leta 2016, hkrati pa težišče premika od vzpostavljanja temeljnih institucionalnih zmogljivosti in struktur k proaktivnemu, povezanemu in merljivemu modelu zagotavljanja kibernetske varnosti. Podrobnejši pregled doseženega in ugotovljenih vrzeli je predstavljen v poglavju »Analiza izvajanja Strategije kibernetske varnosti Republike Slovenije 2016–2025«.</w:t>
      </w:r>
    </w:p>
    <w:p w14:paraId="227782F3" w14:textId="546605C7" w:rsidR="00D50F20" w:rsidRPr="00D2042E" w:rsidRDefault="00126A65">
      <w:pPr>
        <w:spacing w:after="140" w:line="300" w:lineRule="auto"/>
        <w:jc w:val="both"/>
      </w:pPr>
      <w:r w:rsidRPr="00D2042E">
        <w:t>Prednostni nalogi in strateške cilje strategija udejanja s strateškimi usmeritvami, ki se v akcijskem načrtu razčlenijo v konkretne ukrepe z merljivimi kazalniki uspešnosti.</w:t>
      </w:r>
      <w:r w:rsidRPr="00D2042E">
        <w:rPr>
          <w:rStyle w:val="Sprotnaopomba-sklic"/>
        </w:rPr>
        <w:footnoteReference w:id="1"/>
      </w:r>
    </w:p>
    <w:p w14:paraId="5DE758F3" w14:textId="6A6888F6" w:rsidR="00D50F20" w:rsidRPr="00D2042E" w:rsidRDefault="00126A65">
      <w:pPr>
        <w:spacing w:after="140" w:line="300" w:lineRule="auto"/>
        <w:jc w:val="both"/>
      </w:pPr>
      <w:r w:rsidRPr="00D2042E">
        <w:t xml:space="preserve">Obe prednostni nalogi in štirje strateški cilji ustvarjajo pogoje za učinkovito sodelovanje različnih </w:t>
      </w:r>
      <w:proofErr w:type="gramStart"/>
      <w:r w:rsidRPr="00D2042E">
        <w:t>akterjev</w:t>
      </w:r>
      <w:proofErr w:type="gramEnd"/>
      <w:r w:rsidRPr="00D2042E">
        <w:t xml:space="preserve"> ter krepitev medsebojnega zaupanja, s čimer omogočajo njihov dejavni prispevek k zagotavljanju kibernetske varnosti Republike Slovenije.</w:t>
      </w:r>
    </w:p>
    <w:p w14:paraId="0F1CF5D1" w14:textId="5D41BEE7" w:rsidR="00D50F20" w:rsidRPr="00D2042E" w:rsidRDefault="00126A65">
      <w:pPr>
        <w:pStyle w:val="Navaden2"/>
        <w:spacing w:after="140" w:line="300" w:lineRule="auto"/>
        <w:jc w:val="both"/>
      </w:pPr>
      <w:r w:rsidRPr="00D2042E">
        <w:t xml:space="preserve">Kibernetska varnost je skupna naloga vseh deležnikov. Strategija zato opredeljuje ključne </w:t>
      </w:r>
      <w:proofErr w:type="gramStart"/>
      <w:r w:rsidRPr="00D2042E">
        <w:t>akterje</w:t>
      </w:r>
      <w:proofErr w:type="gramEnd"/>
      <w:r w:rsidRPr="00D2042E">
        <w:t xml:space="preserve">, njihove pristojnosti, naloge za prihodnja leta in vire, potrebne za njihovo izvajanje. Temelji na </w:t>
      </w:r>
      <w:proofErr w:type="spellStart"/>
      <w:r w:rsidRPr="00D2042E">
        <w:t>vsedružbenem</w:t>
      </w:r>
      <w:proofErr w:type="spellEnd"/>
      <w:r w:rsidRPr="00D2042E">
        <w:t xml:space="preserve"> pristopu, ki zahteva usklajeno delovanje vseh deležnikov. Ključna pogoja za takšno delovanje sta </w:t>
      </w:r>
      <w:r w:rsidRPr="00D2042E">
        <w:lastRenderedPageBreak/>
        <w:t xml:space="preserve">medsebojno zaupanje in učinkovita izmenjava informacij, brez katerih ni mogoče zagotavljati visoke ravni kibernetske varnosti. </w:t>
      </w:r>
    </w:p>
    <w:p w14:paraId="6672E9F8" w14:textId="4D48CE45" w:rsidR="00D50F20" w:rsidRPr="00D2042E" w:rsidRDefault="00126A65">
      <w:pPr>
        <w:pStyle w:val="Navaden2"/>
        <w:spacing w:after="140" w:line="300" w:lineRule="auto"/>
        <w:jc w:val="both"/>
      </w:pPr>
      <w:r w:rsidRPr="00D2042E">
        <w:t xml:space="preserve">Osrednjo vlogo pri usklajevanju </w:t>
      </w:r>
      <w:proofErr w:type="gramStart"/>
      <w:r w:rsidRPr="00D2042E">
        <w:t>aktivnosti</w:t>
      </w:r>
      <w:proofErr w:type="gramEnd"/>
      <w:r w:rsidRPr="00D2042E">
        <w:t xml:space="preserve"> na področju kibernetske varnosti ima Urad Vlade Republike Slovenije za informacijsko varnost (v nadaljnjem besedilu: URSIV), ki je pristojni nacionalni organ za informacijsko varnost. Usklajuje ukrepe na področju kibernetske varnosti </w:t>
      </w:r>
      <w:r w:rsidR="00BC526C" w:rsidRPr="00D2042E">
        <w:t>in</w:t>
      </w:r>
      <w:r w:rsidRPr="00D2042E">
        <w:t xml:space="preserve"> spremlja izvajanje strategije. Zagotavlja tudi njeno posodabljanje in prilagajanje spremembam varnostnega, tehnološkega in pravnega okolja. Razdelitev vlog, pristojnosti in odgovornosti je podrobneje opredeljena v poglavju »Okvir upravljanja in odgovornosti«.</w:t>
      </w:r>
    </w:p>
    <w:p w14:paraId="7EA78EA8" w14:textId="63A4290A" w:rsidR="00D50F20" w:rsidRPr="00D2042E" w:rsidRDefault="00126A65">
      <w:pPr>
        <w:spacing w:after="140" w:line="300" w:lineRule="auto"/>
        <w:jc w:val="both"/>
      </w:pPr>
      <w:r w:rsidRPr="00D2042E">
        <w:t>Pri izvajanju strategije se bodo dosledno spoštovala načela pravne države, varstva človekovih pravic in temeljnih svoboščin, zasebnosti, zaupnosti komunikacij in varstva osebnih podatkov, skladno z Uredbo (EU) 2016/679 Evropskega parlamenta in Sveta z dne 27. aprila 2016 o varstvu posameznikov pri obdelavi osebnih podatkov in o prostem pretoku takih podatkov (Splošna uredba o varstvu podatkov) ter Zakonom o varstvu osebnih podatkov (Uradni list RS, št. 163/22). Ukrepi kibernetske varnosti se načrtujejo in izvajajo ob upoštevanju načel zakonitosti, namenskosti in sorazmernosti. Kadar je to glede na namen in naravo obdelave osebnih podatkov, zlasti posebnih vrst osebnih podatkov, ustrezno, se uporabljajo pristopi in tehnični ukrepi, ki dodatno varujejo zasebnost, kot so anonimizacija, agregacija in šifriranje. Ta načela so podrobneje obravnavana v poglavju »Kibernetska varnost, zasebnost in človekove pravice«.</w:t>
      </w:r>
    </w:p>
    <w:p w14:paraId="7D18BD9C" w14:textId="7129207D" w:rsidR="00D50F20" w:rsidRPr="00D2042E" w:rsidRDefault="00126A65">
      <w:pPr>
        <w:spacing w:after="140" w:line="300" w:lineRule="auto"/>
        <w:jc w:val="both"/>
      </w:pPr>
      <w:r w:rsidRPr="00D2042E">
        <w:t xml:space="preserve">Namen ukrepov, opredeljenih v strategiji, je zagotoviti </w:t>
      </w:r>
      <w:proofErr w:type="gramStart"/>
      <w:r w:rsidRPr="00D2042E">
        <w:t>ažurno</w:t>
      </w:r>
      <w:proofErr w:type="gramEnd"/>
      <w:r w:rsidRPr="00D2042E">
        <w:t xml:space="preserve"> obveščanje o novih izzivih in grožnjah na področju informacijske in kibernetske varnosti, pravočasno sprejemanje ustreznih ukrepov za zmanjševanje ranljivosti omrežnih in informacijskih sistemov, omejevanje možnosti njihovih zlorab ter zmanjševanje škode in drugih negativnih posledic zlonamernih kibernetskih dejanj. Ob nastanku incidenta je treba zagotoviti odpornost informacijsko-komunikacijskih sistemov in omrežij ter njihovo čimprejšnjo povrnitev v stanje, ki omogoča varno in zanesljivo izvajanje ključnih funkcij ter neprekinjeno delovanje prizadetih organizacij oziroma čimprejšnjo ponovno vzpostavitev njihovega delovanja. Učinkovito zagotavljanje kibernetske varnosti zahteva stalno spremljanje, prepoznavanje in proaktivno odkrivanje kibernetskih groženj ter zlonamernih dejavnosti različnih </w:t>
      </w:r>
      <w:proofErr w:type="gramStart"/>
      <w:r w:rsidRPr="00D2042E">
        <w:t>akterjev</w:t>
      </w:r>
      <w:proofErr w:type="gramEnd"/>
      <w:r w:rsidRPr="00D2042E">
        <w:t>. Strategija zato posebej poudarja pomen kibernetske higiene posameznikov in organizacij v Republiki Sloveniji, saj njihovo odgovorno ravnanje pomembno prispeva k preprečevanju incidentov in krepi odpornost ter je temelj aktivne kibernetske obrambe.</w:t>
      </w:r>
    </w:p>
    <w:p w14:paraId="392F102B" w14:textId="72FB2E06" w:rsidR="00D50F20" w:rsidRPr="00D2042E" w:rsidRDefault="00126A65">
      <w:pPr>
        <w:spacing w:after="140" w:line="300" w:lineRule="auto"/>
        <w:jc w:val="both"/>
      </w:pPr>
      <w:r w:rsidRPr="00D2042E">
        <w:t>V skladu s četrtim odstavkom 9. člena ZInfV-1 pristojni nacionalni organ sprotno in redno, vsaj vsakih pet let, oceni strategijo na podlagi ključnih kazalnikov uspešnosti, ki izhajajo iz doseganja ciljev in prednostnih nalog strategije. Način spremljanja, vrednotenja in posodabljanja je opredeljen v poglavju »Spremljanje, vrednotenje in posodabljanje strategije«.</w:t>
      </w:r>
    </w:p>
    <w:p w14:paraId="5D8C1D42" w14:textId="77777777" w:rsidR="00D50F20" w:rsidRPr="00D2042E" w:rsidRDefault="00126A65">
      <w:r w:rsidRPr="00D2042E">
        <w:br w:type="page"/>
      </w:r>
    </w:p>
    <w:p w14:paraId="634B4C6F" w14:textId="77777777" w:rsidR="00D50F20" w:rsidRPr="00D2042E" w:rsidRDefault="00126A65">
      <w:pPr>
        <w:pStyle w:val="Naslov1"/>
        <w:rPr>
          <w:color w:val="auto"/>
        </w:rPr>
      </w:pPr>
      <w:bookmarkStart w:id="18" w:name="_Toc241499666"/>
      <w:bookmarkStart w:id="19" w:name="_Toc241499917"/>
      <w:bookmarkStart w:id="20" w:name="_Toc241500203"/>
      <w:bookmarkStart w:id="21" w:name="_Toc242102243"/>
      <w:bookmarkStart w:id="22" w:name="_Toc242102337"/>
      <w:bookmarkStart w:id="23" w:name="_Toc242128612"/>
      <w:bookmarkStart w:id="24" w:name="_Toc242128706"/>
      <w:bookmarkStart w:id="25" w:name="_Toc242364356"/>
      <w:bookmarkStart w:id="26" w:name="_Toc242799357"/>
      <w:r w:rsidRPr="00D2042E">
        <w:rPr>
          <w:color w:val="auto"/>
        </w:rPr>
        <w:lastRenderedPageBreak/>
        <w:t>IZHODIŠČA</w:t>
      </w:r>
      <w:bookmarkEnd w:id="18"/>
      <w:bookmarkEnd w:id="19"/>
      <w:bookmarkEnd w:id="20"/>
      <w:bookmarkEnd w:id="21"/>
      <w:bookmarkEnd w:id="22"/>
      <w:bookmarkEnd w:id="23"/>
      <w:bookmarkEnd w:id="24"/>
      <w:bookmarkEnd w:id="25"/>
      <w:bookmarkEnd w:id="26"/>
    </w:p>
    <w:p w14:paraId="4FC8E833" w14:textId="1FB88255"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V sodobni družbi je neprekinjeno delovanje informacijsko-komunikacijskih sistemov in omrežij pogoj za delovanje družbe, gospodarstva in države. Hiter tehnološki razvoj prinaša številne koristi, hkrati pa povečuje izpostavljenost novim in vse bolj dovršenim kibernetskim grožnjam. Kibernetska varnost je zato postala pomemben element nacionalne varnosti, gospodarske odpornosti in zaupanja v digitalno okolje. Republika Slovenija kot članica Evropske unije in zavezništva NATO tudi v kibernetskem prostoru uveljavlja in varuje demokratične vrednote, načela pravne države ter človekove pravice in temeljne svoboščine. </w:t>
      </w:r>
    </w:p>
    <w:p w14:paraId="6980BE59" w14:textId="1D9273CF"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Strategija temelji na nacionalnih, evropskih in zavezniških strateških ter pravnih dokumentih s področja varnosti, digitalne preobrazbe in razvoja, zlasti na ZInfV-1, direktivi NIS2, </w:t>
      </w:r>
      <w:r w:rsidR="00694C36" w:rsidRPr="00D2042E">
        <w:rPr>
          <w:rFonts w:eastAsia="Times New Roman"/>
        </w:rPr>
        <w:t>k</w:t>
      </w:r>
      <w:r w:rsidRPr="00D2042E">
        <w:rPr>
          <w:rFonts w:eastAsia="Times New Roman"/>
        </w:rPr>
        <w:t xml:space="preserve">rovni strategiji digitalne preobrazbe Slovenije do leta 2030 »Digitalna Slovenija 2030«, Strategiji razvoja Slovenije 2030, </w:t>
      </w:r>
      <w:r w:rsidR="00F5187A" w:rsidRPr="00D2042E">
        <w:rPr>
          <w:rFonts w:eastAsia="Times New Roman"/>
        </w:rPr>
        <w:t>s</w:t>
      </w:r>
      <w:r w:rsidRPr="00D2042E">
        <w:rPr>
          <w:rFonts w:eastAsia="Times New Roman"/>
        </w:rPr>
        <w:t xml:space="preserve">trateškem </w:t>
      </w:r>
      <w:proofErr w:type="gramStart"/>
      <w:r w:rsidRPr="00D2042E">
        <w:rPr>
          <w:rFonts w:eastAsia="Times New Roman"/>
        </w:rPr>
        <w:t>konceptu</w:t>
      </w:r>
      <w:proofErr w:type="gramEnd"/>
      <w:r w:rsidRPr="00D2042E">
        <w:rPr>
          <w:rFonts w:eastAsia="Times New Roman"/>
        </w:rPr>
        <w:t xml:space="preserve"> NATO ter drugih relevantnih dokumentih Evropske unije in NATO. Namen strategije je določiti usmeritve za nadaljnjo krepitev nacionalnega sistema kibernetske varnosti ter razvoj varnega, odpornega in zaupanja vrednega digitalnega okolja. </w:t>
      </w:r>
    </w:p>
    <w:p w14:paraId="0B1343A9" w14:textId="502D12F6"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Republika Slovenija pri izvajanju strategije izhaja iz ocene nacionalne slike incidentov, groženj in tveganj, pri čemer med ključne izzive sodijo izsiljevalske kibernetske </w:t>
      </w:r>
      <w:proofErr w:type="gramStart"/>
      <w:r w:rsidRPr="00D2042E">
        <w:rPr>
          <w:rFonts w:eastAsia="Times New Roman"/>
        </w:rPr>
        <w:t>aktivnosti</w:t>
      </w:r>
      <w:proofErr w:type="gramEnd"/>
      <w:r w:rsidRPr="00D2042E">
        <w:rPr>
          <w:rFonts w:eastAsia="Times New Roman"/>
        </w:rPr>
        <w:t xml:space="preserve">, zlorabe identitet, izkoriščanje ranljivosti, napredne trajne grožnje (APT), tveganja v digitalnih dobavnih verigah in kampanje socialnega inženiringa. </w:t>
      </w:r>
    </w:p>
    <w:p w14:paraId="3A3CAFA7" w14:textId="248AD753" w:rsidR="00D50F20" w:rsidRPr="00D2042E" w:rsidRDefault="00126A65">
      <w:pPr>
        <w:pStyle w:val="Navaden2"/>
        <w:spacing w:line="300" w:lineRule="atLeast"/>
        <w:jc w:val="both"/>
      </w:pPr>
      <w:r w:rsidRPr="00D2042E">
        <w:t xml:space="preserve">Kibernetska varnost obsega dejavnosti, potrebne za zaščito omrežnih in informacijskih sistemov, uporabnikov takih sistemov in drugih oseb, na katere vplivajo kibernetske grožnje. Temelji na sposobnosti zaščite, varovanja in obrambe kibernetskega prostora pred grožnjami in incidenti. Strategija temelji na načelih stalne budnosti, arhitekture ničelnega zaupanja in aktivne kibernetske zaščite ter poudarja pomen </w:t>
      </w:r>
      <w:proofErr w:type="spellStart"/>
      <w:r w:rsidRPr="00D2042E">
        <w:t>vsedružbenega</w:t>
      </w:r>
      <w:proofErr w:type="spellEnd"/>
      <w:r w:rsidRPr="00D2042E">
        <w:t xml:space="preserve"> pristopa, sodelovanja deležnikov in pravočasne izmenjave informacij.</w:t>
      </w:r>
    </w:p>
    <w:p w14:paraId="38A9C5F8" w14:textId="77777777" w:rsidR="00D50F20" w:rsidRPr="00D2042E" w:rsidRDefault="00D50F20">
      <w:pPr>
        <w:pStyle w:val="Navaden2"/>
        <w:spacing w:line="300" w:lineRule="atLeast"/>
        <w:jc w:val="both"/>
        <w:rPr>
          <w:sz w:val="24"/>
          <w:szCs w:val="24"/>
        </w:rPr>
      </w:pPr>
    </w:p>
    <w:p w14:paraId="56F56D83" w14:textId="774E5EBC" w:rsidR="00D50F20" w:rsidRPr="00D2042E" w:rsidRDefault="00126A65">
      <w:pPr>
        <w:pStyle w:val="Navaden3"/>
        <w:spacing w:line="300" w:lineRule="atLeast"/>
        <w:jc w:val="both"/>
      </w:pPr>
      <w:r w:rsidRPr="00D2042E">
        <w:t xml:space="preserve">Pri tem se strategija opira na ZInfV-1, s katerim je bila v slovenski pravni red prenesena </w:t>
      </w:r>
      <w:proofErr w:type="gramStart"/>
      <w:r w:rsidRPr="00D2042E">
        <w:t>direktiva</w:t>
      </w:r>
      <w:proofErr w:type="gramEnd"/>
      <w:r w:rsidRPr="00D2042E">
        <w:t xml:space="preserve"> NIS2. Zakon določa sodoben okvir za zagotavljanje kibernetske varnosti, ki temelji na učinkovitem obvladovanju tveganj, odgovornosti organizacij, poročanju o incidentih ter krepitvi odpornosti. Strategija v tem okviru opredeljuje vizijo in strateške cilje ter usmeritve za usklajen razvoj nacionalnih zmogljivosti za uspešno odzivanje na prihodnje izzive.</w:t>
      </w:r>
      <w:r w:rsidRPr="00D2042E">
        <w:rPr>
          <w:rFonts w:ascii="Segoe UI" w:hAnsi="Segoe UI" w:cs="Segoe UI"/>
          <w:kern w:val="0"/>
          <w:sz w:val="18"/>
          <w:szCs w:val="18"/>
          <w14:ligatures w14:val="none"/>
        </w:rPr>
        <w:t xml:space="preserve"> </w:t>
      </w:r>
    </w:p>
    <w:p w14:paraId="0E0EC842" w14:textId="77777777" w:rsidR="00D50F20" w:rsidRPr="00D2042E" w:rsidRDefault="00126A65">
      <w:pPr>
        <w:pStyle w:val="Naslov2"/>
        <w:rPr>
          <w:color w:val="auto"/>
        </w:rPr>
      </w:pPr>
      <w:bookmarkStart w:id="27" w:name="_Toc241499667"/>
      <w:bookmarkStart w:id="28" w:name="_Toc241499918"/>
      <w:bookmarkStart w:id="29" w:name="_Toc241500204"/>
      <w:bookmarkStart w:id="30" w:name="_Toc242102244"/>
      <w:bookmarkStart w:id="31" w:name="_Toc242102338"/>
      <w:bookmarkStart w:id="32" w:name="_Toc242128613"/>
      <w:bookmarkStart w:id="33" w:name="_Toc242128707"/>
      <w:bookmarkStart w:id="34" w:name="_Toc242364357"/>
      <w:bookmarkStart w:id="35" w:name="_Toc242799358"/>
      <w:r w:rsidRPr="00D2042E">
        <w:rPr>
          <w:color w:val="auto"/>
        </w:rPr>
        <w:t>Analiza izvajanja Strategije kibernetske varnosti Republike Slovenije 2016–2025</w:t>
      </w:r>
      <w:bookmarkEnd w:id="27"/>
      <w:bookmarkEnd w:id="28"/>
      <w:bookmarkEnd w:id="29"/>
      <w:bookmarkEnd w:id="30"/>
      <w:bookmarkEnd w:id="31"/>
      <w:bookmarkEnd w:id="32"/>
      <w:bookmarkEnd w:id="33"/>
      <w:bookmarkEnd w:id="34"/>
      <w:bookmarkEnd w:id="35"/>
    </w:p>
    <w:p w14:paraId="6825370F" w14:textId="6FCFAA3A" w:rsidR="00D50F20" w:rsidRPr="00D2042E" w:rsidRDefault="00126A65">
      <w:pPr>
        <w:spacing w:after="140" w:line="300" w:lineRule="auto"/>
        <w:jc w:val="both"/>
      </w:pPr>
      <w:r w:rsidRPr="00D2042E">
        <w:t>Namen tega poglavja je pregled razvoja nacionalnega sistema kibernetske varnosti od sprejema prve strategije leta 2016 ter opredelitev ključnih vrzeli in izzivov, ki jih obravnava ta strategija. Analiza vrzeli je izhodišče za oblikovanje strateških ciljev: iz ugotovljenih vrzeli izhajajo cilji, vsak cilj se uresničuje z več ukrepi, izvajanje ukrepov in doseganje ciljev pa se meri s kazalniki uspešnosti. S tem strategija vzpostavlja sklenjen krog načrtovanja, izvajanja, preverjanja in ukrepanja.</w:t>
      </w:r>
    </w:p>
    <w:p w14:paraId="76BE254B" w14:textId="77777777" w:rsidR="00D50F20" w:rsidRPr="00D2042E" w:rsidRDefault="00126A65">
      <w:pPr>
        <w:pStyle w:val="Naslov3"/>
      </w:pPr>
      <w:bookmarkStart w:id="36" w:name="_Toc242102245"/>
      <w:bookmarkStart w:id="37" w:name="_Toc242102339"/>
      <w:bookmarkStart w:id="38" w:name="_Toc242128614"/>
      <w:bookmarkStart w:id="39" w:name="_Toc242128708"/>
      <w:bookmarkStart w:id="40" w:name="_Toc242364358"/>
      <w:bookmarkStart w:id="41" w:name="_Toc242799359"/>
      <w:r w:rsidRPr="00D2042E">
        <w:t>Doseženo v obdobju 2016–2025</w:t>
      </w:r>
      <w:bookmarkEnd w:id="36"/>
      <w:bookmarkEnd w:id="37"/>
      <w:bookmarkEnd w:id="38"/>
      <w:bookmarkEnd w:id="39"/>
      <w:bookmarkEnd w:id="40"/>
      <w:bookmarkEnd w:id="41"/>
    </w:p>
    <w:p w14:paraId="77A9AF32" w14:textId="7CFEE994" w:rsidR="00D50F20" w:rsidRPr="00D2042E" w:rsidRDefault="00126A65">
      <w:pPr>
        <w:pStyle w:val="Odstavekseznama"/>
        <w:numPr>
          <w:ilvl w:val="0"/>
          <w:numId w:val="1"/>
        </w:numPr>
        <w:spacing w:after="70" w:line="280" w:lineRule="auto"/>
        <w:jc w:val="both"/>
      </w:pPr>
      <w:r w:rsidRPr="00D2042E">
        <w:t>Republika Slovenija je vzpostavila temeljne institucije in zmogljivosti nacionalnega sistema kibernetske varnosti, med njimi pristojni nacionalni organ za informacijsko varnost (URSIV) in skupini za odzivanje na incidente na področju računalniške varnosti oziroma skupini CSIRT (SI-CERT, ki je bil ustanovljen že leta 1995, in SIGOV-CERT).</w:t>
      </w:r>
    </w:p>
    <w:p w14:paraId="43B3023B" w14:textId="0CE4D38F" w:rsidR="00D50F20" w:rsidRPr="00D2042E" w:rsidRDefault="00126A65">
      <w:pPr>
        <w:pStyle w:val="Odstavekseznama"/>
        <w:numPr>
          <w:ilvl w:val="0"/>
          <w:numId w:val="1"/>
        </w:numPr>
        <w:spacing w:after="70" w:line="280" w:lineRule="auto"/>
        <w:jc w:val="both"/>
      </w:pPr>
      <w:r w:rsidRPr="00D2042E">
        <w:t xml:space="preserve">S sprejetjem ZInfV-1 je bil vzpostavljen prenovljen zakonodajni okvir, ki v pravni red prenaša </w:t>
      </w:r>
      <w:proofErr w:type="gramStart"/>
      <w:r w:rsidRPr="00D2042E">
        <w:t>direktivo</w:t>
      </w:r>
      <w:proofErr w:type="gramEnd"/>
      <w:r w:rsidRPr="00D2042E">
        <w:t xml:space="preserve"> NIS2 in razširja krog zavezancev ter zahteve za obvladovanje tveganj.</w:t>
      </w:r>
    </w:p>
    <w:p w14:paraId="45696F05" w14:textId="37450FEF" w:rsidR="00D50F20" w:rsidRPr="00D2042E" w:rsidRDefault="00126A65">
      <w:pPr>
        <w:pStyle w:val="Odstavekseznama"/>
        <w:numPr>
          <w:ilvl w:val="0"/>
          <w:numId w:val="1"/>
        </w:numPr>
        <w:spacing w:after="70" w:line="280" w:lineRule="auto"/>
        <w:jc w:val="both"/>
      </w:pPr>
      <w:r w:rsidRPr="00D2042E">
        <w:lastRenderedPageBreak/>
        <w:t>Okrepilo se je nacionalno in mednarodno sodelovanje, vključno s sodelovanjem v mreži CSIRT in mreži EU-</w:t>
      </w:r>
      <w:proofErr w:type="spellStart"/>
      <w:r w:rsidRPr="00D2042E">
        <w:t>CyCLONe</w:t>
      </w:r>
      <w:proofErr w:type="spellEnd"/>
      <w:r w:rsidRPr="00D2042E">
        <w:t>, sodelovanjem z agencijo ENISA ter udeležbo na mednarodnih vajah kibernetske obrambe.</w:t>
      </w:r>
    </w:p>
    <w:p w14:paraId="78D4E7A2" w14:textId="5FBF023A" w:rsidR="00D50F20" w:rsidRPr="00D2042E" w:rsidRDefault="00126A65">
      <w:pPr>
        <w:pStyle w:val="Odstavekseznama"/>
        <w:numPr>
          <w:ilvl w:val="0"/>
          <w:numId w:val="1"/>
        </w:numPr>
        <w:spacing w:after="70" w:line="280" w:lineRule="auto"/>
        <w:jc w:val="both"/>
      </w:pPr>
      <w:r w:rsidRPr="00D2042E">
        <w:t>Povečale so se zmogljivosti za zaznavanje incidentov in odzivanje nanje; vzpostavljeno je bilo varno virtualno okolje za analizo zlonamerne kode in digitalno forenziko ter nacionalno vozlišče platforme za izmenjavo informacij o grožnjah (MISP).</w:t>
      </w:r>
    </w:p>
    <w:p w14:paraId="1AC7235F" w14:textId="079DCEEB" w:rsidR="00D50F20" w:rsidRPr="00D2042E" w:rsidRDefault="00126A65">
      <w:pPr>
        <w:pStyle w:val="Odstavekseznama"/>
        <w:numPr>
          <w:ilvl w:val="0"/>
          <w:numId w:val="1"/>
        </w:numPr>
        <w:spacing w:after="70" w:line="280" w:lineRule="auto"/>
        <w:jc w:val="both"/>
      </w:pPr>
      <w:r w:rsidRPr="00D2042E">
        <w:t xml:space="preserve">Vzpostavljeni so bili programi ozaveščanja z nacionalnim dosegom (Varni na </w:t>
      </w:r>
      <w:proofErr w:type="gramStart"/>
      <w:r w:rsidRPr="00D2042E">
        <w:t>internetu</w:t>
      </w:r>
      <w:proofErr w:type="gramEnd"/>
      <w:r w:rsidRPr="00D2042E">
        <w:t>, Varni v pisarni, Točka osveščanja o varni rabi interneta), zagotovljena pa je bila tudi redna letna udeležba v evropskem mesecu kibernetske varnosti.</w:t>
      </w:r>
    </w:p>
    <w:p w14:paraId="64464DA1" w14:textId="1F3279E1" w:rsidR="00D50F20" w:rsidRPr="00D2042E" w:rsidRDefault="00126A65">
      <w:pPr>
        <w:pStyle w:val="Odstavekseznama2"/>
        <w:numPr>
          <w:ilvl w:val="0"/>
          <w:numId w:val="1"/>
        </w:numPr>
        <w:jc w:val="both"/>
        <w:rPr>
          <w:kern w:val="0"/>
          <w14:ligatures w14:val="none"/>
        </w:rPr>
      </w:pPr>
      <w:r w:rsidRPr="00D2042E">
        <w:t xml:space="preserve">Vzpostavljen je bil Nacionalni koordinacijski </w:t>
      </w:r>
      <w:proofErr w:type="gramStart"/>
      <w:r w:rsidRPr="00D2042E">
        <w:t>center</w:t>
      </w:r>
      <w:proofErr w:type="gramEnd"/>
      <w:r w:rsidRPr="00D2042E">
        <w:t xml:space="preserve"> za kibernetsko varnost (NCC-SI), ki predstavlja osrednjo povezovalno točko za krepitev nacionalnega </w:t>
      </w:r>
      <w:proofErr w:type="spellStart"/>
      <w:r w:rsidRPr="00D2042E">
        <w:t>kibernetskovarnostnega</w:t>
      </w:r>
      <w:proofErr w:type="spellEnd"/>
      <w:r w:rsidRPr="00D2042E">
        <w:t xml:space="preserve"> ekosistema in povezovanje z evropsko mrežo nacionalnih koordinacijskih centrov.</w:t>
      </w:r>
    </w:p>
    <w:p w14:paraId="6FEFC6D0" w14:textId="77777777" w:rsidR="00D50F20" w:rsidRPr="00D2042E" w:rsidRDefault="00D50F20">
      <w:pPr>
        <w:pStyle w:val="Odstavekseznama2"/>
        <w:ind w:left="360"/>
        <w:jc w:val="both"/>
        <w:rPr>
          <w:kern w:val="0"/>
          <w14:ligatures w14:val="none"/>
        </w:rPr>
      </w:pPr>
    </w:p>
    <w:p w14:paraId="64A4AE2E" w14:textId="764BC1E4" w:rsidR="00D50F20" w:rsidRPr="00D2042E" w:rsidRDefault="00126A65">
      <w:pPr>
        <w:pStyle w:val="Odstavekseznama"/>
        <w:numPr>
          <w:ilvl w:val="0"/>
          <w:numId w:val="1"/>
        </w:numPr>
        <w:spacing w:after="70" w:line="280" w:lineRule="auto"/>
        <w:jc w:val="both"/>
      </w:pPr>
      <w:r w:rsidRPr="00D2042E">
        <w:t>Vzpostavljena je bila usklajena obravnava ranljivosti (CVD), uvedena pa sta bila tudi redno izdajanje javnih opozoril in ciljano obveščanje skrbnikov ranljivih sistemov.</w:t>
      </w:r>
    </w:p>
    <w:p w14:paraId="59B59C1F" w14:textId="7548F8A3" w:rsidR="00D50F20" w:rsidRPr="00D2042E" w:rsidRDefault="00126A65">
      <w:pPr>
        <w:pStyle w:val="Naslov3"/>
      </w:pPr>
      <w:bookmarkStart w:id="42" w:name="_Toc242102246"/>
      <w:bookmarkStart w:id="43" w:name="_Toc242102340"/>
      <w:bookmarkStart w:id="44" w:name="_Toc242128615"/>
      <w:bookmarkStart w:id="45" w:name="_Toc242128709"/>
      <w:bookmarkStart w:id="46" w:name="_Toc242364359"/>
      <w:bookmarkStart w:id="47" w:name="_Toc242799360"/>
      <w:r w:rsidRPr="00D2042E">
        <w:t>Ključni izzivi in nadaljnje razvojne potrebe</w:t>
      </w:r>
      <w:bookmarkEnd w:id="42"/>
      <w:bookmarkEnd w:id="43"/>
      <w:bookmarkEnd w:id="44"/>
      <w:bookmarkEnd w:id="45"/>
      <w:bookmarkEnd w:id="46"/>
      <w:bookmarkEnd w:id="47"/>
    </w:p>
    <w:p w14:paraId="5925F139" w14:textId="77777777" w:rsidR="00D50F20" w:rsidRPr="00D2042E" w:rsidRDefault="00126A65">
      <w:pPr>
        <w:pStyle w:val="Navaden2"/>
        <w:spacing w:line="300" w:lineRule="atLeast"/>
        <w:jc w:val="both"/>
        <w:rPr>
          <w:bCs/>
        </w:rPr>
      </w:pPr>
      <w:r w:rsidRPr="00D2042E">
        <w:rPr>
          <w:bCs/>
        </w:rPr>
        <w:t>Kljub doseženemu napredku analiza kaže naslednje ključne izzive in razvojne potrebe, ki so podlaga za nadaljnje izvajanje strateških ciljev in ukrepov te strategije:</w:t>
      </w:r>
    </w:p>
    <w:p w14:paraId="5BF2A615" w14:textId="77777777" w:rsidR="00D50F20" w:rsidRPr="00D2042E" w:rsidRDefault="00D50F20">
      <w:pPr>
        <w:pStyle w:val="Navaden2"/>
        <w:spacing w:line="300" w:lineRule="atLeast"/>
        <w:jc w:val="both"/>
        <w:rPr>
          <w:bCs/>
        </w:rPr>
      </w:pPr>
    </w:p>
    <w:p w14:paraId="32C7D646" w14:textId="51AE6C88" w:rsidR="00D50F20" w:rsidRPr="00D2042E" w:rsidRDefault="00126A65">
      <w:pPr>
        <w:pStyle w:val="Navaden2"/>
        <w:numPr>
          <w:ilvl w:val="0"/>
          <w:numId w:val="15"/>
        </w:numPr>
        <w:spacing w:line="300" w:lineRule="atLeast"/>
        <w:jc w:val="both"/>
      </w:pPr>
      <w:r w:rsidRPr="00D2042E">
        <w:t>Splošna družbena ozaveščenost o kibernetski varnosti ostaja neenakomerna, programi ozaveščanja pa zahtevajo nadaljnjo kadrovsko in finančno krepitev.</w:t>
      </w:r>
    </w:p>
    <w:p w14:paraId="3C91AAA4" w14:textId="639EC63B" w:rsidR="00D50F20" w:rsidRPr="00D2042E" w:rsidRDefault="00126A65">
      <w:pPr>
        <w:pStyle w:val="Navaden2"/>
        <w:numPr>
          <w:ilvl w:val="0"/>
          <w:numId w:val="15"/>
        </w:numPr>
        <w:spacing w:line="300" w:lineRule="atLeast"/>
        <w:jc w:val="both"/>
      </w:pPr>
      <w:r w:rsidRPr="00D2042E">
        <w:t>Kadrovske zmogljivosti skupin CSIRT in pristojnih državnih organov zahtevajo nadaljnjo krepitev glede na rast groženj in nove zakonske obveznosti.</w:t>
      </w:r>
    </w:p>
    <w:p w14:paraId="1EE72699" w14:textId="21FC83FE" w:rsidR="00D50F20" w:rsidRPr="00D2042E" w:rsidRDefault="00126A65">
      <w:pPr>
        <w:pStyle w:val="Navaden2"/>
        <w:numPr>
          <w:ilvl w:val="0"/>
          <w:numId w:val="15"/>
        </w:numPr>
        <w:spacing w:line="300" w:lineRule="atLeast"/>
        <w:jc w:val="both"/>
      </w:pPr>
      <w:r w:rsidRPr="00D2042E">
        <w:t>Mehanizmi za usklajeno odzivanje na obsežne incidente in krize ter za vključevanje zunanjih strokovnjakov zahtevajo nadaljnjo krepitev in sistematično preizkušanje.</w:t>
      </w:r>
    </w:p>
    <w:p w14:paraId="49372977" w14:textId="592957A5" w:rsidR="00D50F20" w:rsidRPr="00D2042E" w:rsidRDefault="00126A65">
      <w:pPr>
        <w:pStyle w:val="Navaden2"/>
        <w:numPr>
          <w:ilvl w:val="0"/>
          <w:numId w:val="15"/>
        </w:numPr>
        <w:spacing w:line="300" w:lineRule="atLeast"/>
        <w:jc w:val="both"/>
      </w:pPr>
      <w:r w:rsidRPr="00D2042E">
        <w:t xml:space="preserve">Izmenjava informacij med javnim in zasebnim sektorjem, zlasti z varnostno-operativnimi </w:t>
      </w:r>
      <w:proofErr w:type="gramStart"/>
      <w:r w:rsidRPr="00D2042E">
        <w:t>centri</w:t>
      </w:r>
      <w:proofErr w:type="gramEnd"/>
      <w:r w:rsidRPr="00D2042E">
        <w:t xml:space="preserve">, zahteva nadaljnjo formalizacijo in vzpostavitev merljivega načina sodelovanja. </w:t>
      </w:r>
    </w:p>
    <w:p w14:paraId="32C12B05" w14:textId="66BBAF0B" w:rsidR="00D50F20" w:rsidRPr="00D2042E" w:rsidRDefault="00126A65">
      <w:pPr>
        <w:pStyle w:val="Navaden2"/>
        <w:numPr>
          <w:ilvl w:val="0"/>
          <w:numId w:val="15"/>
        </w:numPr>
        <w:spacing w:line="300" w:lineRule="atLeast"/>
        <w:jc w:val="both"/>
      </w:pPr>
      <w:r w:rsidRPr="00D2042E">
        <w:t>Spremljanje sistemskih tveganj, sektorskih odvisnosti in tveganj digitalnih dobavnih verig zahteva nadaljnji razvoj in sistematično izvajanje.</w:t>
      </w:r>
    </w:p>
    <w:p w14:paraId="5E1A74F2" w14:textId="22143F6B" w:rsidR="00D50F20" w:rsidRPr="00D2042E" w:rsidRDefault="00126A65">
      <w:pPr>
        <w:pStyle w:val="Navaden2"/>
        <w:numPr>
          <w:ilvl w:val="0"/>
          <w:numId w:val="15"/>
        </w:numPr>
        <w:spacing w:line="300" w:lineRule="atLeast"/>
        <w:jc w:val="both"/>
      </w:pPr>
      <w:r w:rsidRPr="00D2042E">
        <w:t>Kibernetska zrelost javne uprave ostaja neenakomerna, zlasti zaradi zastarelih sistemov, razdrobljenih varnostnih rešitev in podedovane zasnove omrežij.</w:t>
      </w:r>
    </w:p>
    <w:p w14:paraId="7EFE450C" w14:textId="734D1F81" w:rsidR="00D50F20" w:rsidRPr="00D2042E" w:rsidRDefault="00126A65">
      <w:pPr>
        <w:pStyle w:val="Navaden2"/>
        <w:numPr>
          <w:ilvl w:val="0"/>
          <w:numId w:val="15"/>
        </w:numPr>
        <w:spacing w:line="300" w:lineRule="atLeast"/>
        <w:jc w:val="both"/>
      </w:pPr>
      <w:r w:rsidRPr="00D2042E">
        <w:t>Podporo mikro, malim in srednjim podjetjem pri obvladovanju kibernetskih tveganj je treba še naprej sistematično razvijati in širiti.</w:t>
      </w:r>
    </w:p>
    <w:p w14:paraId="3A3ECBD0" w14:textId="074D7328" w:rsidR="00D50F20" w:rsidRPr="00D2042E" w:rsidRDefault="00126A65">
      <w:pPr>
        <w:pStyle w:val="Navaden2"/>
        <w:numPr>
          <w:ilvl w:val="0"/>
          <w:numId w:val="15"/>
        </w:numPr>
        <w:spacing w:line="300" w:lineRule="atLeast"/>
        <w:jc w:val="both"/>
      </w:pPr>
      <w:r w:rsidRPr="00D2042E">
        <w:t>Vloge in postopki sodelovanja med organi pregona, državnim tožilstvom in skupinami CSIRT pri incidentih z znaki kaznivega dejanja zahtevajo nadaljnje poenotenje in formalizacijo.</w:t>
      </w:r>
    </w:p>
    <w:p w14:paraId="246DFF4C" w14:textId="0125C0D6" w:rsidR="00D50F20" w:rsidRPr="00D2042E" w:rsidRDefault="00126A65">
      <w:pPr>
        <w:pStyle w:val="Navaden2"/>
        <w:numPr>
          <w:ilvl w:val="0"/>
          <w:numId w:val="15"/>
        </w:numPr>
        <w:spacing w:line="300" w:lineRule="atLeast"/>
        <w:jc w:val="both"/>
      </w:pPr>
      <w:r w:rsidRPr="00D2042E">
        <w:t>Razvoj umetne inteligence in zaostrene geopolitične razmere zahtevajo nadgradnjo pristopa in višjo stopnjo nacionalne odpornosti.</w:t>
      </w:r>
    </w:p>
    <w:p w14:paraId="462A48C7" w14:textId="77777777" w:rsidR="00D50F20" w:rsidRPr="00D2042E" w:rsidRDefault="00D50F20">
      <w:pPr>
        <w:pStyle w:val="Navaden1"/>
        <w:spacing w:after="140" w:line="300" w:lineRule="auto"/>
        <w:rPr>
          <w:color w:val="auto"/>
        </w:rPr>
      </w:pPr>
    </w:p>
    <w:p w14:paraId="73BAC767" w14:textId="142608F9" w:rsidR="00D50F20" w:rsidRPr="00D2042E" w:rsidRDefault="00126A65">
      <w:pPr>
        <w:pStyle w:val="Navaden1"/>
        <w:spacing w:after="140" w:line="300" w:lineRule="auto"/>
        <w:rPr>
          <w:color w:val="auto"/>
        </w:rPr>
      </w:pPr>
      <w:r w:rsidRPr="00D2042E">
        <w:rPr>
          <w:color w:val="auto"/>
        </w:rPr>
        <w:t>Na podlagi navedenih vrzeli strategija nadgrajuje doseženo raven razvoja in določa usmeritve za nadaljnjo krepitev zmogljivosti, kibernetske odpornosti in boja proti kibernetskemu kriminalu. Podrobna kvantitativna ocena izhodiščnega stanja po posameznih kazalnikih se pripravi ob sprejetju akcijskega načrta, pri čemer se za vsak kazalnik določijo izhodiščna in ciljna vrednost, vir podatkov ter obdobje njihovega zajema.</w:t>
      </w:r>
    </w:p>
    <w:p w14:paraId="0AC33026" w14:textId="77777777" w:rsidR="00D50F20" w:rsidRPr="00D2042E" w:rsidRDefault="00126A65">
      <w:r w:rsidRPr="00D2042E">
        <w:br w:type="page"/>
      </w:r>
    </w:p>
    <w:p w14:paraId="7D1AD37B" w14:textId="77777777" w:rsidR="00D50F20" w:rsidRPr="00D2042E" w:rsidRDefault="00126A65">
      <w:pPr>
        <w:pStyle w:val="Naslov1"/>
        <w:rPr>
          <w:color w:val="auto"/>
        </w:rPr>
      </w:pPr>
      <w:bookmarkStart w:id="48" w:name="_Toc241499668"/>
      <w:bookmarkStart w:id="49" w:name="_Toc241499919"/>
      <w:bookmarkStart w:id="50" w:name="_Toc241500205"/>
      <w:bookmarkStart w:id="51" w:name="_Toc242102247"/>
      <w:bookmarkStart w:id="52" w:name="_Toc242102341"/>
      <w:bookmarkStart w:id="53" w:name="_Toc242128616"/>
      <w:bookmarkStart w:id="54" w:name="_Toc242128710"/>
      <w:bookmarkStart w:id="55" w:name="_Toc242364360"/>
      <w:bookmarkStart w:id="56" w:name="_Toc242799361"/>
      <w:r w:rsidRPr="00D2042E">
        <w:rPr>
          <w:color w:val="auto"/>
        </w:rPr>
        <w:lastRenderedPageBreak/>
        <w:t>VIZIJA, PREDNOSTNI NALOGI IN CILJI</w:t>
      </w:r>
      <w:bookmarkEnd w:id="48"/>
      <w:bookmarkEnd w:id="49"/>
      <w:bookmarkEnd w:id="50"/>
      <w:bookmarkEnd w:id="51"/>
      <w:bookmarkEnd w:id="52"/>
      <w:bookmarkEnd w:id="53"/>
      <w:bookmarkEnd w:id="54"/>
      <w:bookmarkEnd w:id="55"/>
      <w:bookmarkEnd w:id="56"/>
    </w:p>
    <w:p w14:paraId="1ED64475" w14:textId="0CAEF2D7"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Vizija Strategije kibernetske varnosti Republike Slovenije 2027–2035 je odporen, varen in zaupanja vreden kibernetski prostor, ki omogoča nemoteno delovanje države, gospodarstva in družbe ter učinkovito obvladovanje sodobnih kibernetskih groženj. Strategija krepi sposobnost države za pravočasno zaznavanje groženj, učinkovito odzivanje na incidente, hitro okrevanje in dolgoročno odpornost kibernetskega prostora. </w:t>
      </w:r>
    </w:p>
    <w:p w14:paraId="6594BC25" w14:textId="77777777"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Uresničevanje vizije temelji na </w:t>
      </w:r>
      <w:r w:rsidRPr="00D2042E">
        <w:rPr>
          <w:rFonts w:eastAsia="Times New Roman"/>
          <w:b/>
          <w:bCs/>
        </w:rPr>
        <w:t>dveh prednostnih nalogah</w:t>
      </w:r>
      <w:r w:rsidRPr="00D2042E">
        <w:rPr>
          <w:rFonts w:eastAsia="Times New Roman"/>
        </w:rPr>
        <w:t xml:space="preserve">: </w:t>
      </w:r>
    </w:p>
    <w:p w14:paraId="45D1DC98" w14:textId="77777777" w:rsidR="00D50F20" w:rsidRPr="00D2042E" w:rsidRDefault="00126A65">
      <w:pPr>
        <w:pStyle w:val="Odstavekseznama"/>
        <w:numPr>
          <w:ilvl w:val="0"/>
          <w:numId w:val="17"/>
        </w:numPr>
        <w:spacing w:before="100" w:beforeAutospacing="1" w:after="100" w:afterAutospacing="1" w:line="300" w:lineRule="atLeast"/>
        <w:jc w:val="both"/>
        <w:rPr>
          <w:rFonts w:eastAsia="Times New Roman"/>
        </w:rPr>
      </w:pPr>
      <w:r w:rsidRPr="00D2042E">
        <w:rPr>
          <w:rFonts w:eastAsia="Times New Roman"/>
        </w:rPr>
        <w:t xml:space="preserve">krepitvi splošne družbene ozaveščenosti o kibernetski varnosti in </w:t>
      </w:r>
    </w:p>
    <w:p w14:paraId="1D0CFC45" w14:textId="61744D99" w:rsidR="00D50F20" w:rsidRPr="00D2042E" w:rsidRDefault="00126A65">
      <w:pPr>
        <w:pStyle w:val="Odstavekseznama"/>
        <w:numPr>
          <w:ilvl w:val="0"/>
          <w:numId w:val="16"/>
        </w:numPr>
        <w:spacing w:before="100" w:beforeAutospacing="1" w:after="100" w:afterAutospacing="1" w:line="300" w:lineRule="atLeast"/>
        <w:jc w:val="both"/>
        <w:rPr>
          <w:rFonts w:eastAsia="Times New Roman"/>
        </w:rPr>
      </w:pPr>
      <w:r w:rsidRPr="00D2042E">
        <w:rPr>
          <w:rFonts w:eastAsia="Times New Roman"/>
        </w:rPr>
        <w:t xml:space="preserve">krepitvi pripravljenosti za odzivanje na incidente, vključno s sodelovanjem med javnim in zasebnim sektorjem. </w:t>
      </w:r>
    </w:p>
    <w:p w14:paraId="643771D5" w14:textId="77777777"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Prednostni nalogi odgovarjata na dve ugotovljeni vrzeli: neenakomerno znanje in varnostno ravnanje uporabnikov ter nezadostno preverjeno pripravljenost za usklajen odziv in obnovo ključnih storitev. Ozaveščanje zmanjšuje verjetnost in posledice zlorab, pripravljenost pa omejuje trajanje motenj, kadar preventiva ne zadošča.</w:t>
      </w:r>
    </w:p>
    <w:p w14:paraId="29C45CA2" w14:textId="7A3380BF"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V prvem triletnem obdobju imajo prednost zagotovitev ključnih kadrovskih zmogljivosti, preizkus medresorskega kriznega odzivanja in obnove najpomembnejših storitev, osnovna varnostna higiena ciljnih skupin </w:t>
      </w:r>
      <w:r w:rsidR="0038293B">
        <w:rPr>
          <w:rFonts w:eastAsia="Times New Roman"/>
        </w:rPr>
        <w:t>ter</w:t>
      </w:r>
      <w:r w:rsidRPr="00D2042E">
        <w:rPr>
          <w:rFonts w:eastAsia="Times New Roman"/>
        </w:rPr>
        <w:t xml:space="preserve"> začetek izvedbe prednostnih </w:t>
      </w:r>
      <w:proofErr w:type="spellStart"/>
      <w:r w:rsidRPr="00D2042E">
        <w:rPr>
          <w:rFonts w:eastAsia="Times New Roman"/>
        </w:rPr>
        <w:t>postkvantnih</w:t>
      </w:r>
      <w:proofErr w:type="spellEnd"/>
      <w:r w:rsidRPr="00D2042E">
        <w:rPr>
          <w:rFonts w:eastAsia="Times New Roman"/>
        </w:rPr>
        <w:t xml:space="preserve"> ukrepov. Zaporedje ukrepov se določi glede na ogroženost, pomen storitev, medsebojne odvisnosti in razpoložljive vire; zakonsko določenih obveznosti in rokov ni mogoče odložiti z razvrščanjem strateških prednosti.</w:t>
      </w:r>
    </w:p>
    <w:p w14:paraId="24B9BC92" w14:textId="0AAABBA9"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 xml:space="preserve">Strategija določa </w:t>
      </w:r>
      <w:r w:rsidRPr="00D2042E">
        <w:rPr>
          <w:rFonts w:eastAsia="Times New Roman"/>
          <w:b/>
          <w:bCs/>
        </w:rPr>
        <w:t>štiri strateške cilje</w:t>
      </w:r>
      <w:r w:rsidRPr="00D2042E">
        <w:rPr>
          <w:rFonts w:eastAsia="Times New Roman"/>
        </w:rPr>
        <w:t>, katerih uresničevanje usmerjajo strateške usmeritve. Te se podrobneje razčlenijo v akcijskem načrtu. Strateški cilji so:</w:t>
      </w:r>
    </w:p>
    <w:p w14:paraId="6346D86C" w14:textId="78E0193F" w:rsidR="00D50F20" w:rsidRPr="00D2042E" w:rsidRDefault="00126A65">
      <w:pPr>
        <w:pStyle w:val="Odstavekseznama1"/>
        <w:numPr>
          <w:ilvl w:val="0"/>
          <w:numId w:val="3"/>
        </w:numPr>
      </w:pPr>
      <w:r w:rsidRPr="00D2042E">
        <w:t>krepitev nacionalnega sistema kibernetske varnosti,</w:t>
      </w:r>
    </w:p>
    <w:p w14:paraId="2FE99621" w14:textId="77777777" w:rsidR="00D50F20" w:rsidRPr="00D2042E" w:rsidRDefault="00126A65">
      <w:pPr>
        <w:pStyle w:val="Odstavekseznama1"/>
        <w:numPr>
          <w:ilvl w:val="0"/>
          <w:numId w:val="3"/>
        </w:numPr>
      </w:pPr>
      <w:r w:rsidRPr="00D2042E">
        <w:t>krepitev odpornosti družbe v kibernetskem prostoru,</w:t>
      </w:r>
    </w:p>
    <w:p w14:paraId="2F31433C" w14:textId="77777777" w:rsidR="00D50F20" w:rsidRPr="00D2042E" w:rsidRDefault="00126A65">
      <w:pPr>
        <w:pStyle w:val="Odstavekseznama1"/>
        <w:numPr>
          <w:ilvl w:val="0"/>
          <w:numId w:val="3"/>
        </w:numPr>
      </w:pPr>
      <w:r w:rsidRPr="00D2042E">
        <w:t>krepitev boja proti kibernetskemu kriminalu,</w:t>
      </w:r>
    </w:p>
    <w:p w14:paraId="769C34EC" w14:textId="77777777" w:rsidR="00D50F20" w:rsidRPr="00D2042E" w:rsidRDefault="00126A65">
      <w:pPr>
        <w:pStyle w:val="Odstavekseznama1"/>
        <w:numPr>
          <w:ilvl w:val="0"/>
          <w:numId w:val="3"/>
        </w:numPr>
      </w:pPr>
      <w:r w:rsidRPr="00D2042E">
        <w:t>krepitev tehnološke odpornosti in obvladovanje prihodnjih tehnologij.</w:t>
      </w:r>
    </w:p>
    <w:p w14:paraId="38EF6686" w14:textId="77777777" w:rsidR="00D50F20" w:rsidRPr="00D2042E" w:rsidRDefault="00126A65">
      <w:pPr>
        <w:pStyle w:val="Naslov1"/>
        <w:rPr>
          <w:color w:val="auto"/>
        </w:rPr>
      </w:pPr>
      <w:bookmarkStart w:id="57" w:name="_Toc241499669"/>
      <w:bookmarkStart w:id="58" w:name="_Toc241499920"/>
      <w:bookmarkStart w:id="59" w:name="_Toc241500206"/>
      <w:bookmarkStart w:id="60" w:name="_Toc242102248"/>
      <w:bookmarkStart w:id="61" w:name="_Toc242102342"/>
      <w:bookmarkStart w:id="62" w:name="_Toc242128617"/>
      <w:bookmarkStart w:id="63" w:name="_Toc242128711"/>
      <w:bookmarkStart w:id="64" w:name="_Toc242364361"/>
      <w:bookmarkStart w:id="65" w:name="_Toc242799362"/>
      <w:r w:rsidRPr="00D2042E">
        <w:rPr>
          <w:color w:val="auto"/>
        </w:rPr>
        <w:t>OKVIR UPRAVLJANJA IN ODGOVORNOSTI</w:t>
      </w:r>
      <w:bookmarkEnd w:id="57"/>
      <w:bookmarkEnd w:id="58"/>
      <w:bookmarkEnd w:id="59"/>
      <w:bookmarkEnd w:id="60"/>
      <w:bookmarkEnd w:id="61"/>
      <w:bookmarkEnd w:id="62"/>
      <w:bookmarkEnd w:id="63"/>
      <w:bookmarkEnd w:id="64"/>
      <w:bookmarkEnd w:id="65"/>
    </w:p>
    <w:p w14:paraId="4A37F307" w14:textId="72525237" w:rsidR="00D50F20" w:rsidRPr="00D2042E" w:rsidRDefault="00126A65">
      <w:pPr>
        <w:pStyle w:val="Navaden2"/>
        <w:spacing w:after="140" w:line="300" w:lineRule="auto"/>
        <w:jc w:val="both"/>
      </w:pPr>
      <w:bookmarkStart w:id="66" w:name="_Toc241499921"/>
      <w:r w:rsidRPr="00D2042E">
        <w:t xml:space="preserve">Republika Slovenija zagotavlja visoko raven kibernetske varnosti s celovitim, usklajenim in </w:t>
      </w:r>
      <w:proofErr w:type="spellStart"/>
      <w:r w:rsidRPr="00D2042E">
        <w:t>vsedružbenim</w:t>
      </w:r>
      <w:proofErr w:type="spellEnd"/>
      <w:r w:rsidRPr="00D2042E">
        <w:t xml:space="preserve"> pristopom, ki temelji na jasni razdelitvi vlog, odgovornosti in pristojnosti vseh deležnikov nacionalnega sistema kibernetske varnosti. Namen tega poglavja je pregledno predstaviti razmejitev njihovih vlog, pristojnosti in odgovornosti ter način njihovega medsebojnega povezovanja in sodelovanja. </w:t>
      </w:r>
    </w:p>
    <w:p w14:paraId="367F2589" w14:textId="77777777" w:rsidR="00D50F20" w:rsidRPr="00D2042E" w:rsidRDefault="00126A65">
      <w:pPr>
        <w:pStyle w:val="Naslov2"/>
        <w:rPr>
          <w:color w:val="auto"/>
        </w:rPr>
      </w:pPr>
      <w:bookmarkStart w:id="67" w:name="_Toc241500207"/>
      <w:bookmarkStart w:id="68" w:name="_Toc242102249"/>
      <w:bookmarkStart w:id="69" w:name="_Toc242102343"/>
      <w:bookmarkStart w:id="70" w:name="_Toc242128618"/>
      <w:bookmarkStart w:id="71" w:name="_Toc242128712"/>
      <w:bookmarkStart w:id="72" w:name="_Toc242364362"/>
      <w:bookmarkStart w:id="73" w:name="_Toc242799363"/>
      <w:r w:rsidRPr="00D2042E">
        <w:rPr>
          <w:color w:val="auto"/>
        </w:rPr>
        <w:t>Nosilci nalog v nacionalnem sistemu kibernetske varnosti</w:t>
      </w:r>
      <w:bookmarkEnd w:id="66"/>
      <w:bookmarkEnd w:id="67"/>
      <w:bookmarkEnd w:id="68"/>
      <w:bookmarkEnd w:id="69"/>
      <w:bookmarkEnd w:id="70"/>
      <w:bookmarkEnd w:id="71"/>
      <w:bookmarkEnd w:id="72"/>
      <w:bookmarkEnd w:id="73"/>
    </w:p>
    <w:p w14:paraId="59429BDB" w14:textId="243CACBD" w:rsidR="00D50F20" w:rsidRPr="00D2042E" w:rsidRDefault="00126A65">
      <w:pPr>
        <w:pStyle w:val="Odstavekseznama1"/>
        <w:numPr>
          <w:ilvl w:val="0"/>
          <w:numId w:val="3"/>
        </w:numPr>
      </w:pPr>
      <w:r w:rsidRPr="00D2042E">
        <w:t>URSIV</w:t>
      </w:r>
      <w:proofErr w:type="gramStart"/>
      <w:r w:rsidRPr="00D2042E">
        <w:t xml:space="preserve"> kot</w:t>
      </w:r>
      <w:proofErr w:type="gramEnd"/>
      <w:r w:rsidRPr="00D2042E">
        <w:t xml:space="preserve"> pristojni nacionalni organ usklajuje nacionalni sistem kibernetske varnosti, zagotavlja podporo zavezancem, izvaja nadzor, spremlja izvajanje strategije in zastopa Republiko Slovenijo v organih Evropske unije. Opravlja tudi naloge enotne kontaktne točke, organa za obvladovanje kibernetskih kriz, nacionalnega certifikacijskega organa za kibernetsko varnost, Nacionalnega koordinacijskega </w:t>
      </w:r>
      <w:proofErr w:type="gramStart"/>
      <w:r w:rsidRPr="00D2042E">
        <w:t>centra</w:t>
      </w:r>
      <w:proofErr w:type="gramEnd"/>
      <w:r w:rsidRPr="00D2042E">
        <w:t xml:space="preserve"> za kibernetsko varnost (NCC-SI) in Nacionalnega kibernetskega vozlišča. V </w:t>
      </w:r>
      <w:r w:rsidRPr="00D2042E">
        <w:lastRenderedPageBreak/>
        <w:t>vlogi NCC-SI povezuje gospodarstvo, akademsko in raziskovalno skupnost ter javni sektor, pri tem pa podpira razvoj kompetenc, raziskav in inovacij.</w:t>
      </w:r>
    </w:p>
    <w:p w14:paraId="0E641183" w14:textId="52332A23" w:rsidR="00D50F20" w:rsidRPr="00D2042E" w:rsidRDefault="00126A65">
      <w:pPr>
        <w:pStyle w:val="Odstavekseznama1"/>
        <w:numPr>
          <w:ilvl w:val="0"/>
          <w:numId w:val="3"/>
        </w:numPr>
      </w:pPr>
      <w:r w:rsidRPr="00D2042E">
        <w:t xml:space="preserve">Skupini CSIRT (SI-CERT in SIGOV-CERT) zagotavljata zaznavanje, obravnavo in analizo incidentov, obravnavo ranljivosti, izmenjavo informacij o grožnjah ter tehnično podporo zavezancem in uporabnikom. </w:t>
      </w:r>
    </w:p>
    <w:p w14:paraId="304F6826" w14:textId="42BEADBF" w:rsidR="00D50F20" w:rsidRPr="00D2042E" w:rsidRDefault="00126A65">
      <w:pPr>
        <w:pStyle w:val="Odstavekseznama1"/>
        <w:numPr>
          <w:ilvl w:val="0"/>
          <w:numId w:val="3"/>
        </w:numPr>
      </w:pPr>
      <w:r w:rsidRPr="00D2042E">
        <w:t>Svet za nacionalno varnost (SNAV) skrbi za usklajevanje mnenj in ukrepov pristojnih državnih organov ter s svetovanjem vladi in ocenjevanjem varnostnih tveganj prispeva k preprečevanju, da bi kibernetske grožnje ogrozile nacionalno varnost.</w:t>
      </w:r>
    </w:p>
    <w:p w14:paraId="292EC876" w14:textId="27339D40" w:rsidR="00D50F20" w:rsidRPr="00D2042E" w:rsidRDefault="00126A65">
      <w:pPr>
        <w:pStyle w:val="Odstavekseznama1"/>
        <w:numPr>
          <w:ilvl w:val="0"/>
          <w:numId w:val="3"/>
        </w:numPr>
      </w:pPr>
      <w:r w:rsidRPr="00D2042E">
        <w:t>Policija odkriva in preiskuje kazniva dejanja s področja kibernetskega kriminala, državno tožilstvo pa usmerja predkazenski postopek in izvaja kazenski pregon. Pristojni organi sodelujejo tudi s tujimi organi v okviru svojih zakonskih pristojnosti.</w:t>
      </w:r>
    </w:p>
    <w:p w14:paraId="02CD1B6E" w14:textId="47BB49AF" w:rsidR="00D50F20" w:rsidRPr="00D2042E" w:rsidRDefault="00126A65">
      <w:pPr>
        <w:pStyle w:val="Odstavekseznama1"/>
        <w:numPr>
          <w:ilvl w:val="0"/>
          <w:numId w:val="3"/>
        </w:numPr>
      </w:pPr>
      <w:r w:rsidRPr="00D2042E">
        <w:t>Ministrstvo za obrambo in pristojne obveščevalno-varnostne službe prispevajo k spremljanju hibridnih in naprednih groženj ter kibernetski obrambi v okviru svojih pristojnosti.</w:t>
      </w:r>
    </w:p>
    <w:p w14:paraId="11A20628" w14:textId="54171372" w:rsidR="00D50F20" w:rsidRPr="00D2042E" w:rsidRDefault="00126A65">
      <w:pPr>
        <w:pStyle w:val="Odstavekseznama1"/>
        <w:numPr>
          <w:ilvl w:val="0"/>
          <w:numId w:val="3"/>
        </w:numPr>
      </w:pPr>
      <w:r w:rsidRPr="00D2042E">
        <w:t xml:space="preserve">Pristojni sektorski in </w:t>
      </w:r>
      <w:proofErr w:type="gramStart"/>
      <w:r w:rsidRPr="00D2042E">
        <w:t>regulatorni</w:t>
      </w:r>
      <w:proofErr w:type="gramEnd"/>
      <w:r w:rsidRPr="00D2042E">
        <w:t xml:space="preserve"> organi izvajajo naloge po področnih predpisih, Informacijski pooblaščenec neodvisno nadzira varstvo osebnih podatkov; odgovornost za zakonito obdelavo nosijo upravljavci in obdelovalci.</w:t>
      </w:r>
    </w:p>
    <w:p w14:paraId="2AC2B48E" w14:textId="0447EDA3" w:rsidR="00D50F20" w:rsidRPr="00D2042E" w:rsidRDefault="00126A65">
      <w:pPr>
        <w:pStyle w:val="Odstavekseznama1"/>
        <w:numPr>
          <w:ilvl w:val="0"/>
          <w:numId w:val="3"/>
        </w:numPr>
      </w:pPr>
      <w:r w:rsidRPr="00D2042E">
        <w:t xml:space="preserve">Zavezanci po ZInfV-1, kritični subjekti po zakonu, ki ureja področje </w:t>
      </w:r>
      <w:proofErr w:type="gramStart"/>
      <w:r w:rsidRPr="00D2042E">
        <w:t>kritične infrastrukture</w:t>
      </w:r>
      <w:proofErr w:type="gramEnd"/>
      <w:r w:rsidRPr="00D2042E">
        <w:t>, varnostno-operativni centri, gospodarstvo, raziskovalne organizacije in civilna družba izvajajo lastne ukrepe in sodelujejo v mehanizmih izmenjave informacij.</w:t>
      </w:r>
    </w:p>
    <w:p w14:paraId="5D3FFC5F" w14:textId="77777777" w:rsidR="00D50F20" w:rsidRPr="00D2042E" w:rsidRDefault="00126A65">
      <w:pPr>
        <w:pStyle w:val="Naslov2"/>
        <w:rPr>
          <w:color w:val="auto"/>
        </w:rPr>
      </w:pPr>
      <w:bookmarkStart w:id="74" w:name="_Toc241499671"/>
      <w:bookmarkStart w:id="75" w:name="_Toc241499922"/>
      <w:bookmarkStart w:id="76" w:name="_Toc241500208"/>
      <w:bookmarkStart w:id="77" w:name="_Toc242102250"/>
      <w:bookmarkStart w:id="78" w:name="_Toc242102344"/>
      <w:bookmarkStart w:id="79" w:name="_Toc242128619"/>
      <w:bookmarkStart w:id="80" w:name="_Toc242128713"/>
      <w:bookmarkStart w:id="81" w:name="_Toc242364363"/>
      <w:bookmarkStart w:id="82" w:name="_Toc242799364"/>
      <w:r w:rsidRPr="00D2042E">
        <w:rPr>
          <w:color w:val="auto"/>
        </w:rPr>
        <w:t>Strateške usmeritve</w:t>
      </w:r>
      <w:bookmarkEnd w:id="74"/>
      <w:bookmarkEnd w:id="75"/>
      <w:bookmarkEnd w:id="76"/>
      <w:bookmarkEnd w:id="77"/>
      <w:bookmarkEnd w:id="78"/>
      <w:bookmarkEnd w:id="79"/>
      <w:bookmarkEnd w:id="80"/>
      <w:bookmarkEnd w:id="81"/>
      <w:bookmarkEnd w:id="82"/>
    </w:p>
    <w:p w14:paraId="280B6AC9" w14:textId="77777777" w:rsidR="00D50F20" w:rsidRPr="00D2042E" w:rsidRDefault="00126A65">
      <w:pPr>
        <w:pStyle w:val="Odstavekseznama"/>
        <w:numPr>
          <w:ilvl w:val="0"/>
          <w:numId w:val="1"/>
        </w:numPr>
        <w:spacing w:after="70" w:line="280" w:lineRule="auto"/>
        <w:jc w:val="both"/>
      </w:pPr>
      <w:r w:rsidRPr="00D2042E">
        <w:t>Zagotavljati jasno opredeljene vloge, odgovornosti in pristojnosti vseh deležnikov nacionalnega sistema kibernetske varnosti.</w:t>
      </w:r>
    </w:p>
    <w:p w14:paraId="590C75C3" w14:textId="2ABEDD5D" w:rsidR="00D50F20" w:rsidRPr="00D2042E" w:rsidRDefault="00126A65">
      <w:pPr>
        <w:pStyle w:val="Odstavekseznama"/>
        <w:numPr>
          <w:ilvl w:val="0"/>
          <w:numId w:val="1"/>
        </w:numPr>
        <w:spacing w:after="70" w:line="280" w:lineRule="auto"/>
        <w:jc w:val="both"/>
      </w:pPr>
      <w:r w:rsidRPr="00D2042E">
        <w:t>Zagotavljati usklajeno delovanje pristojnega nacionalnega organa, skupin CSIRT, regulatorjev, organov odkrivanja in pregona, predstavnikov obrambnega sistema ter drugih pristojnih institucij.</w:t>
      </w:r>
    </w:p>
    <w:p w14:paraId="4E0EA463" w14:textId="77777777" w:rsidR="00D50F20" w:rsidRPr="00D2042E" w:rsidRDefault="00126A65">
      <w:pPr>
        <w:pStyle w:val="Odstavekseznama"/>
        <w:numPr>
          <w:ilvl w:val="0"/>
          <w:numId w:val="1"/>
        </w:numPr>
        <w:spacing w:after="70" w:line="280" w:lineRule="auto"/>
        <w:jc w:val="both"/>
      </w:pPr>
      <w:r w:rsidRPr="00D2042E">
        <w:t>Krepiti sodelovanje med javnim in zasebnim sektorjem pri preprečevanju, odkrivanju in obravnavi kibernetskih groženj.</w:t>
      </w:r>
    </w:p>
    <w:p w14:paraId="22C54F0C" w14:textId="77777777" w:rsidR="00D50F20" w:rsidRPr="00D2042E" w:rsidRDefault="00126A65">
      <w:pPr>
        <w:pStyle w:val="Odstavekseznama"/>
        <w:numPr>
          <w:ilvl w:val="0"/>
          <w:numId w:val="1"/>
        </w:numPr>
        <w:spacing w:after="70" w:line="280" w:lineRule="auto"/>
        <w:jc w:val="both"/>
      </w:pPr>
      <w:r w:rsidRPr="00D2042E">
        <w:t>Krepiti vključevanje akademske sfere, raziskovalnih organizacij in gospodarstva v razvoj nacionalnih kibernetskih zmogljivosti.</w:t>
      </w:r>
    </w:p>
    <w:p w14:paraId="7A978CAB" w14:textId="09FFE716" w:rsidR="00D50F20" w:rsidRPr="00D2042E" w:rsidRDefault="00126A65">
      <w:pPr>
        <w:pStyle w:val="Odstavekseznama"/>
        <w:numPr>
          <w:ilvl w:val="0"/>
          <w:numId w:val="1"/>
        </w:numPr>
        <w:spacing w:after="70" w:line="280" w:lineRule="auto"/>
        <w:ind w:left="720"/>
        <w:jc w:val="both"/>
      </w:pPr>
      <w:r w:rsidRPr="00D2042E">
        <w:t xml:space="preserve">Krepiti nacionalno </w:t>
      </w:r>
      <w:proofErr w:type="spellStart"/>
      <w:r w:rsidRPr="00D2042E">
        <w:t>kibernetskovarnostno</w:t>
      </w:r>
      <w:proofErr w:type="spellEnd"/>
      <w:r w:rsidRPr="00D2042E">
        <w:t xml:space="preserve"> skupnost in spodbujati povezovanje gospodarstva, raziskovalnih in akademskih institucij, javnega sektorja ter drugih relevantnih deležnikov pri razvoju nacionalnih </w:t>
      </w:r>
      <w:proofErr w:type="spellStart"/>
      <w:r w:rsidRPr="00D2042E">
        <w:t>kibernetskovarnostnih</w:t>
      </w:r>
      <w:proofErr w:type="spellEnd"/>
      <w:r w:rsidRPr="00D2042E">
        <w:t xml:space="preserve"> zmogljivosti, kompetenc in inovacij.</w:t>
      </w:r>
    </w:p>
    <w:p w14:paraId="0676341D" w14:textId="77777777" w:rsidR="00D50F20" w:rsidRPr="00D2042E" w:rsidRDefault="00126A65">
      <w:pPr>
        <w:pStyle w:val="Odstavekseznama"/>
        <w:numPr>
          <w:ilvl w:val="0"/>
          <w:numId w:val="1"/>
        </w:numPr>
        <w:spacing w:after="70" w:line="280" w:lineRule="auto"/>
        <w:jc w:val="both"/>
      </w:pPr>
      <w:r w:rsidRPr="00D2042E">
        <w:t>Spodbujati pravočasno in zaupanja vredno izmenjavo informacij med deležniki.</w:t>
      </w:r>
    </w:p>
    <w:p w14:paraId="7FB9EB36" w14:textId="62E41A11" w:rsidR="00D50F20" w:rsidRPr="00D2042E" w:rsidRDefault="00126A65">
      <w:pPr>
        <w:pStyle w:val="Odstavekseznama"/>
        <w:numPr>
          <w:ilvl w:val="0"/>
          <w:numId w:val="1"/>
        </w:numPr>
        <w:spacing w:after="70" w:line="280" w:lineRule="auto"/>
        <w:jc w:val="both"/>
      </w:pPr>
      <w:r w:rsidRPr="00D2042E">
        <w:t xml:space="preserve">Zagotavljati učinkovito usklajevanje s področjem </w:t>
      </w:r>
      <w:proofErr w:type="gramStart"/>
      <w:r w:rsidRPr="00D2042E">
        <w:t>kritične infrastrukture</w:t>
      </w:r>
      <w:proofErr w:type="gramEnd"/>
      <w:r w:rsidRPr="00D2042E">
        <w:t xml:space="preserve"> in s področjem odzivanja na hibridne grožnje.</w:t>
      </w:r>
    </w:p>
    <w:p w14:paraId="1A817D0B" w14:textId="680539D4" w:rsidR="00D50F20" w:rsidRPr="00D2042E" w:rsidRDefault="00126A65">
      <w:pPr>
        <w:pStyle w:val="Odstavekseznama"/>
        <w:numPr>
          <w:ilvl w:val="0"/>
          <w:numId w:val="1"/>
        </w:numPr>
        <w:spacing w:after="70" w:line="280" w:lineRule="auto"/>
        <w:jc w:val="both"/>
      </w:pPr>
      <w:r w:rsidRPr="00D2042E">
        <w:t>Zagotavljati povezovanje nacionalnega sistema kibernetske varnosti z mehanizmi Evropske unije in NATO ter z drugimi mednarodnimi partnerji.</w:t>
      </w:r>
    </w:p>
    <w:p w14:paraId="761F70E8" w14:textId="4ADA91DE" w:rsidR="00D50F20" w:rsidRPr="00D2042E" w:rsidRDefault="00126A65">
      <w:pPr>
        <w:pStyle w:val="Navaden2"/>
        <w:spacing w:line="300" w:lineRule="atLeast"/>
        <w:jc w:val="both"/>
      </w:pPr>
      <w:r w:rsidRPr="00D2042E">
        <w:t>Usklajevanje na operativni in strateški ravni poteka prek medresorskih koordinacijskih teles in strokovnih mehanizmov sodelovanja, ki jih vodi URSIV ali v katerih sodeluje kot pristojni nacionalni organ za informacijsko varnost. Sodelovanje z osrednjim organom za odzivanje na hibridne grožnje vključuje izmenjavo ocen tveganj, opozoril in informacij o incidentih, ki lahko nakazujejo hibridno delovanje, ter usklajevanje odziva in vaj v okviru zakonskih pristojnosti.</w:t>
      </w:r>
    </w:p>
    <w:p w14:paraId="0ED7620A" w14:textId="77777777" w:rsidR="00D50F20" w:rsidRPr="00D2042E" w:rsidRDefault="00D50F20">
      <w:pPr>
        <w:pStyle w:val="Navaden2"/>
        <w:spacing w:line="300" w:lineRule="atLeast"/>
        <w:jc w:val="both"/>
      </w:pPr>
    </w:p>
    <w:p w14:paraId="6660B70A" w14:textId="6DF36284" w:rsidR="00D50F20" w:rsidRDefault="00126A65">
      <w:pPr>
        <w:pStyle w:val="Navaden2"/>
        <w:spacing w:line="300" w:lineRule="auto"/>
        <w:jc w:val="both"/>
      </w:pPr>
      <w:r w:rsidRPr="00D2042E">
        <w:lastRenderedPageBreak/>
        <w:t>Za izvajanje posameznega ukrepa odgovarja njegov vodilni nosilec. URSIV usklajuje izvajanje strategije in spremlja skupni napredek. Akcijski načrt razmeji upravljanje in izvajanje storitev informacijske in komunikacijske tehnologije (IKT), zagotavljanje informacijske varnosti, odzivanje na incidente ter neodvisno izvajanje nadzornih nalog. Nova koordinacijska telesa in zmogljivosti se načrtujejo na podlagi pregleda obstoječih nalog, da se prepreči njihovo podvajanje. Pristojni organi za kibernetsko varnost in odpornost kritičnih subjektov vzpostavijo usklajeno izmenjavo ocen tveganj in podatkov o incidentih ter sodelovanje pri vajah in nadzoru v okviru svojih zakonskih pristojnosti.</w:t>
      </w:r>
    </w:p>
    <w:p w14:paraId="6DA22770" w14:textId="77777777" w:rsidR="006F5810" w:rsidRPr="00D2042E" w:rsidRDefault="006F5810">
      <w:pPr>
        <w:pStyle w:val="Navaden2"/>
        <w:spacing w:line="300" w:lineRule="auto"/>
        <w:jc w:val="both"/>
        <w:rPr>
          <w:sz w:val="24"/>
          <w:szCs w:val="24"/>
        </w:rPr>
      </w:pPr>
    </w:p>
    <w:p w14:paraId="3B4DAD64" w14:textId="2DA5ED86" w:rsidR="00D50F20" w:rsidRPr="00D2042E" w:rsidRDefault="00126A65">
      <w:pPr>
        <w:pStyle w:val="Navaden5"/>
        <w:spacing w:line="300" w:lineRule="auto"/>
        <w:jc w:val="both"/>
      </w:pPr>
      <w:r w:rsidRPr="00D2042E">
        <w:t>URSIV vodi usklajevanje nacionalnega sistema ter področij pripravljenosti za odzivanje in obvladovanja kibernetskih tveganj. Za odpornost storitev odgovarjajo njihovi upravljavci ob sodelovanju pristojnih resorjev in regulatorjev. Organi, pristojni za izobraževanje, visoko šolstvo, znanost in gospodarstvo, v sodelovanju z URSIV vodijo vsebine svojih področij. Področje kibernetskega kriminala vodi</w:t>
      </w:r>
      <w:r>
        <w:t>ta</w:t>
      </w:r>
      <w:r w:rsidRPr="00D2042E">
        <w:t xml:space="preserve"> Policija in državno tožilstvo v okviru svojih pristojnosti; pri prihodnjih tehnologijah URSIV usklajuje </w:t>
      </w:r>
      <w:proofErr w:type="spellStart"/>
      <w:r w:rsidRPr="00D2042E">
        <w:t>kibernetskovarnostni</w:t>
      </w:r>
      <w:proofErr w:type="spellEnd"/>
      <w:r w:rsidRPr="00D2042E">
        <w:t xml:space="preserve"> vidik, pristojni resorji in regulatorji pa izvajajo svoje naloge. Ta razdelitev ne spreminja zakonskih pristojnosti ali neodvisnosti posameznih organov.</w:t>
      </w:r>
    </w:p>
    <w:p w14:paraId="18DF2604" w14:textId="77777777" w:rsidR="00D50F20" w:rsidRPr="00D2042E" w:rsidRDefault="00D50F20">
      <w:pPr>
        <w:jc w:val="both"/>
      </w:pPr>
    </w:p>
    <w:p w14:paraId="6BB3C4B7" w14:textId="77777777" w:rsidR="007F79E6" w:rsidRDefault="007F79E6">
      <w:pPr>
        <w:pStyle w:val="Navaden5"/>
        <w:spacing w:line="300" w:lineRule="auto"/>
        <w:jc w:val="both"/>
      </w:pPr>
      <w:bookmarkStart w:id="83" w:name="_Toc241499672"/>
      <w:bookmarkStart w:id="84" w:name="_Toc241499923"/>
      <w:bookmarkStart w:id="85" w:name="_Toc241500209"/>
      <w:bookmarkStart w:id="86" w:name="_Toc242102251"/>
      <w:bookmarkStart w:id="87" w:name="_Toc242102345"/>
      <w:bookmarkStart w:id="88" w:name="_Toc242128620"/>
      <w:bookmarkStart w:id="89" w:name="_Toc242128714"/>
      <w:bookmarkStart w:id="90" w:name="_Toc242364364"/>
      <w:r>
        <w:t xml:space="preserve">Ob neusklajenostih, zamudah ali </w:t>
      </w:r>
      <w:proofErr w:type="spellStart"/>
      <w:r>
        <w:t>nezagotovljenih</w:t>
      </w:r>
      <w:proofErr w:type="spellEnd"/>
      <w:r>
        <w:t xml:space="preserve"> virih vodilni nosilec URSIV predloži obrazložitev, oceno posledic in predlog rešitve. URSIV uskladi predlog </w:t>
      </w:r>
      <w:proofErr w:type="gramStart"/>
      <w:r>
        <w:t>korektivnih</w:t>
      </w:r>
      <w:proofErr w:type="gramEnd"/>
      <w:r>
        <w:t xml:space="preserve"> ukrepov, nerešena vprašanja iz pristojnosti vlade pa predloži Vladi Republike Slovenije v odločitev. Spremembe rokov, obsega ukrepov ali virov se zabeležijo v akcijskem načrtu in letnem poročilu; zakonske obveznosti ostanejo zavezujoče.</w:t>
      </w:r>
      <w:r>
        <w:br w:type="page"/>
      </w:r>
    </w:p>
    <w:p w14:paraId="62F0036F" w14:textId="77777777" w:rsidR="00D50F20" w:rsidRPr="00D2042E" w:rsidRDefault="00126A65" w:rsidP="003521B4">
      <w:pPr>
        <w:pStyle w:val="Naslov1"/>
        <w:rPr>
          <w:color w:val="auto"/>
        </w:rPr>
      </w:pPr>
      <w:bookmarkStart w:id="91" w:name="_Toc242799365"/>
      <w:bookmarkEnd w:id="83"/>
      <w:bookmarkEnd w:id="84"/>
      <w:bookmarkEnd w:id="85"/>
      <w:bookmarkEnd w:id="86"/>
      <w:bookmarkEnd w:id="87"/>
      <w:bookmarkEnd w:id="88"/>
      <w:bookmarkEnd w:id="89"/>
      <w:bookmarkEnd w:id="90"/>
      <w:r w:rsidRPr="003521B4">
        <w:rPr>
          <w:color w:val="auto"/>
        </w:rPr>
        <w:lastRenderedPageBreak/>
        <w:t>NAČRT ZA KREPITEV SPLOŠNE DRUŽBENE OZAVEŠČENOSTI O KIBERNETSKI VARNOSTI</w:t>
      </w:r>
      <w:bookmarkEnd w:id="91"/>
    </w:p>
    <w:p w14:paraId="418346B0" w14:textId="39979CD0" w:rsidR="00D50F20" w:rsidRPr="00D2042E" w:rsidRDefault="00126A65">
      <w:pPr>
        <w:pStyle w:val="Navaden1"/>
        <w:spacing w:after="140" w:line="300" w:lineRule="auto"/>
        <w:rPr>
          <w:color w:val="auto"/>
        </w:rPr>
      </w:pPr>
      <w:r w:rsidRPr="00D2042E">
        <w:rPr>
          <w:color w:val="auto"/>
        </w:rPr>
        <w:t>Kibernetska varnost je skupna odgovornost države, gospodarstva in posameznikov. Republika Slovenija bo zato sistematično krepila znanje ter spodbujala ravnanje, ki prebivalcem in organizacijam pomaga prepoznati kibernetska tveganja, preprečevati incidente in se nanje ustrezno odzivati. </w:t>
      </w:r>
    </w:p>
    <w:p w14:paraId="137552DE" w14:textId="3682AFC2" w:rsidR="00D50F20" w:rsidRPr="00D2042E" w:rsidRDefault="00126A65">
      <w:pPr>
        <w:pStyle w:val="Navaden1"/>
        <w:spacing w:after="140" w:line="300" w:lineRule="auto"/>
        <w:rPr>
          <w:color w:val="auto"/>
        </w:rPr>
      </w:pPr>
      <w:r w:rsidRPr="00D2042E">
        <w:rPr>
          <w:color w:val="auto"/>
        </w:rPr>
        <w:t>Ozaveščanje bo prilagojeno različnim ciljnim skupinam in novim izzivom, tveganjem in grožnjam, vključno z zlorabami umetne inteligence in globokimi ponaredki. Vsebine kibernetske varnosti se bodo vključevale v vzgojno-izobraževalni sistem, vseživljenjsko učenje in usposabljanje javnih uslužbencev ter funkcionarjev.</w:t>
      </w:r>
    </w:p>
    <w:p w14:paraId="2B225E32" w14:textId="77777777" w:rsidR="00D50F20" w:rsidRPr="00D2042E" w:rsidRDefault="00126A65">
      <w:pPr>
        <w:pStyle w:val="Naslov2"/>
        <w:rPr>
          <w:color w:val="auto"/>
        </w:rPr>
      </w:pPr>
      <w:bookmarkStart w:id="92" w:name="_Toc241499673"/>
      <w:bookmarkStart w:id="93" w:name="_Toc241499924"/>
      <w:bookmarkStart w:id="94" w:name="_Toc241500210"/>
      <w:bookmarkStart w:id="95" w:name="_Toc242102252"/>
      <w:bookmarkStart w:id="96" w:name="_Toc242102346"/>
      <w:bookmarkStart w:id="97" w:name="_Toc242128621"/>
      <w:bookmarkStart w:id="98" w:name="_Toc242128715"/>
      <w:bookmarkStart w:id="99" w:name="_Toc242364365"/>
      <w:bookmarkStart w:id="100" w:name="_Toc242799366"/>
      <w:r w:rsidRPr="00D2042E">
        <w:rPr>
          <w:color w:val="auto"/>
        </w:rPr>
        <w:t>Strateške usmeritve</w:t>
      </w:r>
      <w:bookmarkEnd w:id="92"/>
      <w:bookmarkEnd w:id="93"/>
      <w:bookmarkEnd w:id="94"/>
      <w:bookmarkEnd w:id="95"/>
      <w:bookmarkEnd w:id="96"/>
      <w:bookmarkEnd w:id="97"/>
      <w:bookmarkEnd w:id="98"/>
      <w:bookmarkEnd w:id="99"/>
      <w:bookmarkEnd w:id="100"/>
    </w:p>
    <w:p w14:paraId="6E6E0712" w14:textId="2C62AFE2" w:rsidR="00D50F20" w:rsidRPr="00D2042E" w:rsidRDefault="00126A65">
      <w:pPr>
        <w:pStyle w:val="Odstavekseznama1"/>
        <w:numPr>
          <w:ilvl w:val="0"/>
          <w:numId w:val="3"/>
        </w:numPr>
      </w:pPr>
      <w:r w:rsidRPr="00D2042E">
        <w:t>Zagotoviti usklajeno načrtovanje in izvajanje nacionalnih programov ozaveščanja ter zanje določiti odgovornosti in potrebne kadrovske ter finančne vire. </w:t>
      </w:r>
    </w:p>
    <w:p w14:paraId="0E122ACA" w14:textId="7865D605" w:rsidR="00D50F20" w:rsidRPr="00D2042E" w:rsidRDefault="00126A65">
      <w:pPr>
        <w:pStyle w:val="Odstavekseznama1"/>
        <w:numPr>
          <w:ilvl w:val="0"/>
          <w:numId w:val="3"/>
        </w:numPr>
      </w:pPr>
      <w:r w:rsidRPr="00D2042E">
        <w:t>Pripravljati razumljive in praktično uporabne vsebine za različne ciljne skupine ter jih prilagajati spremembam groženj in načinom uporabe digitalnih storitev. </w:t>
      </w:r>
    </w:p>
    <w:p w14:paraId="6A003490" w14:textId="0DC5B928" w:rsidR="00D50F20" w:rsidRPr="00D2042E" w:rsidRDefault="00126A65">
      <w:pPr>
        <w:pStyle w:val="Odstavekseznama1"/>
        <w:numPr>
          <w:ilvl w:val="0"/>
          <w:numId w:val="3"/>
        </w:numPr>
      </w:pPr>
      <w:r w:rsidRPr="00D2042E">
        <w:t>Vključevati vsebine kibernetske varnosti in varnega ravnanja v nacionalne vzgojno-izobraževalne programe ter vseživljenjsko učenje. </w:t>
      </w:r>
    </w:p>
    <w:p w14:paraId="0BF1C191" w14:textId="77777777" w:rsidR="00D50F20" w:rsidRPr="00D2042E" w:rsidRDefault="00126A65">
      <w:pPr>
        <w:pStyle w:val="Odstavekseznama1"/>
        <w:numPr>
          <w:ilvl w:val="0"/>
          <w:numId w:val="3"/>
        </w:numPr>
      </w:pPr>
      <w:r w:rsidRPr="00D2042E">
        <w:t>Zagotavljati sistematično in redno usposabljanje o kibernetski varnosti za javne uslužbence in funkcionarje ter krepiti strokovne kompetence v državni upravi.</w:t>
      </w:r>
    </w:p>
    <w:p w14:paraId="549B8FF2" w14:textId="6C6ECE84" w:rsidR="00D50F20" w:rsidRPr="00D2042E" w:rsidRDefault="00126A65">
      <w:pPr>
        <w:pStyle w:val="Odstavekseznama1"/>
        <w:numPr>
          <w:ilvl w:val="0"/>
          <w:numId w:val="3"/>
        </w:numPr>
      </w:pPr>
      <w:r w:rsidRPr="00D2042E">
        <w:t>Določiti nacionalne prednostne naloge raziskav in razvoja, urediti odgovorno deljenje podatkov in spodbujati vključevanje širšega kroga strokovnjakov v dejavnosti na področju kibernetske varnosti.</w:t>
      </w:r>
    </w:p>
    <w:p w14:paraId="1B5503E6" w14:textId="2B4BD8DC" w:rsidR="00D50F20" w:rsidRPr="00D2042E" w:rsidRDefault="00126A65">
      <w:pPr>
        <w:pStyle w:val="paragraph"/>
        <w:numPr>
          <w:ilvl w:val="0"/>
          <w:numId w:val="3"/>
        </w:numPr>
        <w:spacing w:before="0" w:beforeAutospacing="0" w:after="0" w:afterAutospacing="0"/>
        <w:jc w:val="both"/>
        <w:textAlignment w:val="baseline"/>
        <w:rPr>
          <w:rFonts w:ascii="Calibri" w:hAnsi="Calibri" w:cs="Calibri"/>
          <w:sz w:val="22"/>
          <w:szCs w:val="22"/>
        </w:rPr>
      </w:pPr>
      <w:r w:rsidRPr="00D2042E">
        <w:rPr>
          <w:rStyle w:val="normaltextrun"/>
          <w:rFonts w:ascii="Calibri" w:hAnsi="Calibri" w:cs="Calibri"/>
          <w:sz w:val="22"/>
          <w:szCs w:val="22"/>
        </w:rPr>
        <w:t>Usposabljati vodstva in funkcionarje za odločanje o kibernetskih tveganjih, zagotavljanju potrebnih virov in vodenju organizacij ob incidentih.</w:t>
      </w:r>
    </w:p>
    <w:p w14:paraId="27834F4B" w14:textId="079E44D8" w:rsidR="00D50F20" w:rsidRPr="00D2042E" w:rsidRDefault="00126A65">
      <w:pPr>
        <w:pStyle w:val="paragraph"/>
        <w:numPr>
          <w:ilvl w:val="0"/>
          <w:numId w:val="3"/>
        </w:numPr>
        <w:spacing w:before="0" w:beforeAutospacing="0" w:after="0" w:afterAutospacing="0"/>
        <w:jc w:val="both"/>
        <w:textAlignment w:val="baseline"/>
        <w:rPr>
          <w:rFonts w:ascii="Calibri" w:hAnsi="Calibri" w:cs="Calibri"/>
          <w:sz w:val="22"/>
          <w:szCs w:val="22"/>
        </w:rPr>
      </w:pPr>
      <w:r w:rsidRPr="00D2042E">
        <w:rPr>
          <w:rStyle w:val="normaltextrun"/>
          <w:rFonts w:ascii="Calibri" w:hAnsi="Calibri" w:cs="Calibri"/>
          <w:sz w:val="22"/>
          <w:szCs w:val="22"/>
        </w:rPr>
        <w:t>Spremljati učinkovitost programov glede na spremembe v znanju in ravnanju ciljnih skupin ter ugotovitve uporabljati pri njihovem nadaljnjem načrtovanju.</w:t>
      </w:r>
    </w:p>
    <w:p w14:paraId="5C88148D" w14:textId="77777777" w:rsidR="00D50F20" w:rsidRPr="00D2042E" w:rsidRDefault="00D50F20">
      <w:pPr>
        <w:pStyle w:val="Odstavekseznama1"/>
        <w:ind w:left="643"/>
      </w:pPr>
    </w:p>
    <w:p w14:paraId="23BE1335" w14:textId="49F8BB90" w:rsidR="00D50F20" w:rsidRPr="00D2042E" w:rsidRDefault="00126A65">
      <w:pPr>
        <w:spacing w:after="140" w:line="300" w:lineRule="auto"/>
        <w:jc w:val="both"/>
      </w:pPr>
      <w:r w:rsidRPr="00D2042E">
        <w:t xml:space="preserve">Na področju ozaveščanja o kibernetski varnosti bo Republika Slovenija sistematično spremljala in vrednotila dobre prakse, izkušnje in spoznanja drugih držav ter mednarodnih organizacij. Posebna pozornost bo namenjena pristopom, ki so se izkazali za učinkovite pri spreminjanju vedenja uporabnikov, krepitvi kibernetske higiene in prilagajanju vsebin posameznim ciljnim skupinam. </w:t>
      </w:r>
    </w:p>
    <w:p w14:paraId="18F22C2C" w14:textId="3FA0965F" w:rsidR="00D50F20" w:rsidRPr="00D2042E" w:rsidRDefault="00126A65">
      <w:pPr>
        <w:spacing w:after="140" w:line="300" w:lineRule="auto"/>
        <w:jc w:val="both"/>
      </w:pPr>
      <w:r w:rsidRPr="00D2042E">
        <w:t>Uspešnost ozaveščanja se meri tudi s spremembami znanja in ravnanja ciljnih skupin, ne le s številom izvedenih dejavnosti ali udeležencev. Programi se prilagodijo otrokom, starejšim, osebam z invalidnostmi in drugim digitalno ranljivim skupinam. Usposabljanje vodstev vključuje odločanje o tveganjih, zagotavljanje virov in vodenje organizacije ob incidentu.</w:t>
      </w:r>
    </w:p>
    <w:p w14:paraId="192EF8A5" w14:textId="2B2BCAB3" w:rsidR="00D50F20" w:rsidRPr="00D2042E" w:rsidRDefault="00D50F20">
      <w:pPr>
        <w:spacing w:after="140" w:line="300" w:lineRule="auto"/>
        <w:jc w:val="both"/>
      </w:pPr>
    </w:p>
    <w:p w14:paraId="4FFF687A" w14:textId="77777777" w:rsidR="00D50F20" w:rsidRPr="00D2042E" w:rsidRDefault="00126A65">
      <w:pPr>
        <w:pStyle w:val="Naslov1"/>
        <w:keepNext/>
        <w:keepLines/>
        <w:jc w:val="both"/>
        <w:rPr>
          <w:color w:val="auto"/>
          <w:kern w:val="36"/>
          <w14:ligatures w14:val="standardContextual"/>
        </w:rPr>
      </w:pPr>
      <w:bookmarkStart w:id="101" w:name="_Toc242102253"/>
      <w:bookmarkStart w:id="102" w:name="_Toc242102347"/>
      <w:bookmarkStart w:id="103" w:name="_Toc242128622"/>
      <w:bookmarkStart w:id="104" w:name="_Toc242128716"/>
      <w:bookmarkStart w:id="105" w:name="_Toc242364366"/>
      <w:bookmarkStart w:id="106" w:name="_Toc241499674"/>
      <w:bookmarkStart w:id="107" w:name="_Toc241499925"/>
      <w:bookmarkStart w:id="108" w:name="_Toc241500211"/>
      <w:bookmarkStart w:id="109" w:name="_Toc242799367"/>
      <w:r w:rsidRPr="00D2042E">
        <w:rPr>
          <w:color w:val="auto"/>
        </w:rPr>
        <w:lastRenderedPageBreak/>
        <w:t>KREPITEV MEHANIZMOV ZA ODZIVANJE NA INCIDENTE, VKLJUČNO S SODELOVANJEM MED JAVNIM IN ZASEBNIM SEKTORJEM</w:t>
      </w:r>
      <w:bookmarkEnd w:id="101"/>
      <w:bookmarkEnd w:id="102"/>
      <w:bookmarkEnd w:id="103"/>
      <w:bookmarkEnd w:id="104"/>
      <w:bookmarkEnd w:id="105"/>
      <w:bookmarkEnd w:id="109"/>
    </w:p>
    <w:bookmarkEnd w:id="106"/>
    <w:bookmarkEnd w:id="107"/>
    <w:bookmarkEnd w:id="108"/>
    <w:p w14:paraId="5AC429DD" w14:textId="37B21CF8" w:rsidR="00D50F20" w:rsidRDefault="00126A65">
      <w:pPr>
        <w:pStyle w:val="Navaden3"/>
        <w:keepNext/>
        <w:keepLines/>
        <w:spacing w:line="300" w:lineRule="atLeast"/>
        <w:jc w:val="both"/>
      </w:pPr>
      <w:r w:rsidRPr="00D2042E">
        <w:t xml:space="preserve">Republika Slovenija bo krepila pripravljenost za odzivanje na incidente in okrevanje po njih z razvojem nacionalnih zmogljivosti, standardiziranih postopkov ter sodelovanjem javnega in zasebnega sektorja. Obstoječi sistem priglasitve incidentov pristojnima skupinama CSIRT se bo razvijal </w:t>
      </w:r>
      <w:r w:rsidR="00D93371">
        <w:t xml:space="preserve">z </w:t>
      </w:r>
      <w:r w:rsidRPr="00D2042E">
        <w:t xml:space="preserve">uporabo in nadgradnjo skupne nacionalne platforme za priglašanje incidentov, ki bo omogočala pravočasno posredovanje in izmenjavo informacij med pristojnimi organi, skupinami CSIRT, varnostno-operativnimi </w:t>
      </w:r>
      <w:proofErr w:type="gramStart"/>
      <w:r w:rsidRPr="00D2042E">
        <w:t>centri</w:t>
      </w:r>
      <w:proofErr w:type="gramEnd"/>
      <w:r w:rsidRPr="00D2042E">
        <w:t xml:space="preserve"> in drugimi deležniki. Platforma podpira obstoječe zakonske postopke in roke; določi se, kateri podatki se posredujejo posameznim prejemnikom, ob katerih pogojih in s kakšnimi pravicami dostopa.</w:t>
      </w:r>
    </w:p>
    <w:p w14:paraId="6FB2F05D" w14:textId="77777777" w:rsidR="00A52C2F" w:rsidRPr="00D2042E" w:rsidRDefault="00A52C2F">
      <w:pPr>
        <w:pStyle w:val="Navaden3"/>
        <w:keepNext/>
        <w:keepLines/>
        <w:spacing w:line="300" w:lineRule="atLeast"/>
        <w:jc w:val="both"/>
      </w:pPr>
    </w:p>
    <w:p w14:paraId="6DBCA1FD" w14:textId="6840BBFF" w:rsidR="00D50F20" w:rsidRPr="00D2042E" w:rsidRDefault="00126A65">
      <w:pPr>
        <w:spacing w:line="300" w:lineRule="atLeast"/>
        <w:jc w:val="both"/>
        <w:rPr>
          <w:rFonts w:eastAsia="Times New Roman"/>
        </w:rPr>
      </w:pPr>
      <w:r w:rsidRPr="00D2042E">
        <w:rPr>
          <w:rFonts w:eastAsia="Times New Roman"/>
        </w:rPr>
        <w:t>Nacionalne zmogljivosti se bodo razvijale na področjih kriznega upravljanja, digitalne forenzike, analize zlonamerne kode, izmenjave informacij o grožnjah, obravnave ranljivosti in razvoja kadrov ter se bodo redno preizkušale na nacionalnih in mednarodnih vajah. Za učinkovito okrevanje bodo pripravljeni in preizkušani nacionalni načrti odzivanja na incidente in kibernetske krize, smernice in načrti neprekinjenega poslovanja. Pri obvladovanju incidentov velikih razsežnosti, kriz in incidentov s čezmejnimi učinki bo Republika Slovenija sodelovala s posameznimi partnerskimi državami ali mednarodnimi organizacijami, predvsem z EU in NATO, in po potrebi uporabila njihove in druge mehanizme mednarodne pomoči.</w:t>
      </w:r>
    </w:p>
    <w:p w14:paraId="15609843" w14:textId="77777777" w:rsidR="00D50F20" w:rsidRPr="00D2042E" w:rsidRDefault="00D50F20">
      <w:pPr>
        <w:spacing w:line="300" w:lineRule="atLeast"/>
        <w:jc w:val="both"/>
        <w:rPr>
          <w:rFonts w:eastAsia="Times New Roman"/>
        </w:rPr>
      </w:pPr>
    </w:p>
    <w:p w14:paraId="5AB4C9DA" w14:textId="7F89F15A" w:rsidR="00D50F20" w:rsidRPr="00D2042E" w:rsidRDefault="00126A65">
      <w:pPr>
        <w:spacing w:line="300" w:lineRule="atLeast"/>
        <w:jc w:val="both"/>
        <w:rPr>
          <w:rFonts w:eastAsia="Times New Roman"/>
        </w:rPr>
      </w:pPr>
      <w:r w:rsidRPr="00D2042E">
        <w:rPr>
          <w:rFonts w:eastAsia="Times New Roman"/>
        </w:rPr>
        <w:t xml:space="preserve">Načrtovanje novih zmogljivosti mora izhajati iz dokazljive vrzeli. Nacionalna kibernetska rezerva naslavlja potrebo po dodatnih strokovnjakih ob povečanem obsegu incidentov. Predlog nacionalnega vozlišča za digitalno forenziko naslavlja usklajevanje strokovne podpore in varne obravnave digitalnih dokazov, predlog situacijskega </w:t>
      </w:r>
      <w:proofErr w:type="gramStart"/>
      <w:r w:rsidRPr="00D2042E">
        <w:rPr>
          <w:rFonts w:eastAsia="Times New Roman"/>
        </w:rPr>
        <w:t>centra</w:t>
      </w:r>
      <w:proofErr w:type="gramEnd"/>
      <w:r w:rsidRPr="00D2042E">
        <w:rPr>
          <w:rFonts w:eastAsia="Times New Roman"/>
        </w:rPr>
        <w:t xml:space="preserve"> pa skupno spremljanje razmer. Pred vzpostavitvijo se opredelijo nosilec, pravna podlaga, stroški in razmerja do Nacionalnega kibernetskega vozlišča, skupin CSIRT ter obstoječih policijskih in obrambnih zmogljivosti. Tehnična obravnava incidenta in kazenskoprocesno zavarovanje dokazov morata ostati jasno razmejena.</w:t>
      </w:r>
    </w:p>
    <w:p w14:paraId="114B3811" w14:textId="77777777" w:rsidR="00D50F20" w:rsidRPr="00D2042E" w:rsidRDefault="00126A65">
      <w:pPr>
        <w:pStyle w:val="Naslov2"/>
        <w:rPr>
          <w:color w:val="auto"/>
        </w:rPr>
      </w:pPr>
      <w:bookmarkStart w:id="110" w:name="_Toc241499675"/>
      <w:bookmarkStart w:id="111" w:name="_Toc241499926"/>
      <w:bookmarkStart w:id="112" w:name="_Toc241500212"/>
      <w:bookmarkStart w:id="113" w:name="_Toc242102254"/>
      <w:bookmarkStart w:id="114" w:name="_Toc242102348"/>
      <w:bookmarkStart w:id="115" w:name="_Toc242128623"/>
      <w:bookmarkStart w:id="116" w:name="_Toc242128717"/>
      <w:bookmarkStart w:id="117" w:name="_Toc242364367"/>
      <w:bookmarkStart w:id="118" w:name="_Toc242799368"/>
      <w:r w:rsidRPr="00D2042E">
        <w:rPr>
          <w:color w:val="auto"/>
        </w:rPr>
        <w:t>Strateške usmeritve</w:t>
      </w:r>
      <w:bookmarkEnd w:id="110"/>
      <w:bookmarkEnd w:id="111"/>
      <w:bookmarkEnd w:id="112"/>
      <w:bookmarkEnd w:id="113"/>
      <w:bookmarkEnd w:id="114"/>
      <w:bookmarkEnd w:id="115"/>
      <w:bookmarkEnd w:id="116"/>
      <w:bookmarkEnd w:id="117"/>
      <w:bookmarkEnd w:id="118"/>
    </w:p>
    <w:p w14:paraId="4BCC3673" w14:textId="6EF95EEE" w:rsidR="00D50F20" w:rsidRPr="00D2042E" w:rsidRDefault="00126A65">
      <w:pPr>
        <w:pStyle w:val="Odstavekseznama1"/>
        <w:numPr>
          <w:ilvl w:val="0"/>
          <w:numId w:val="6"/>
        </w:numPr>
        <w:spacing w:line="259" w:lineRule="auto"/>
        <w:ind w:left="720"/>
      </w:pPr>
      <w:r w:rsidRPr="00D2042E">
        <w:t>V nacionalnem načrtu odzivanja opredeliti merila za stopnjevanje odziva, aktivacijo dodatnih zmogljivosti in mednarodne pomoči ter razmejitev tehničnega, operativnega in strateškega odločanja.</w:t>
      </w:r>
    </w:p>
    <w:p w14:paraId="4F33F925" w14:textId="77E0B330" w:rsidR="00D50F20" w:rsidRPr="00D2042E" w:rsidRDefault="00126A65">
      <w:pPr>
        <w:pStyle w:val="Odstavekseznama1"/>
        <w:numPr>
          <w:ilvl w:val="0"/>
          <w:numId w:val="6"/>
        </w:numPr>
        <w:spacing w:line="259" w:lineRule="auto"/>
        <w:ind w:left="720"/>
      </w:pPr>
      <w:r w:rsidRPr="00D2042E">
        <w:t>Vzpostaviti nacionalno vozlišče za digitalno forenziko in usklajen protokol za obravnavo incidentov z znaki kaznivega dejanja ob sodelovanju skupin CSIRT, Policije in državnega tožilstva.</w:t>
      </w:r>
    </w:p>
    <w:p w14:paraId="17E9E42C" w14:textId="30C10517" w:rsidR="00D50F20" w:rsidRPr="00D2042E" w:rsidRDefault="00126A65">
      <w:pPr>
        <w:pStyle w:val="Odstavekseznama1"/>
        <w:numPr>
          <w:ilvl w:val="0"/>
          <w:numId w:val="6"/>
        </w:numPr>
        <w:spacing w:line="259" w:lineRule="auto"/>
        <w:ind w:left="720"/>
      </w:pPr>
      <w:r w:rsidRPr="00D2042E">
        <w:t>Vzpostaviti in ohranjati učinkovit nacionalni sistem odzivanja na incidente, incidente velikih razsežnosti in krize na podlagi načrta, ki se redno preizkuša in prilagaja glede na pridobljena spoznanja, da se zagotovi učinkovitost postopkov.</w:t>
      </w:r>
    </w:p>
    <w:p w14:paraId="02E33CC3" w14:textId="4E36746A" w:rsidR="00D50F20" w:rsidRPr="00D2042E" w:rsidRDefault="00126A65">
      <w:pPr>
        <w:pStyle w:val="Odstavekseznama1"/>
        <w:numPr>
          <w:ilvl w:val="0"/>
          <w:numId w:val="6"/>
        </w:numPr>
        <w:spacing w:line="259" w:lineRule="auto"/>
        <w:ind w:left="720"/>
      </w:pPr>
      <w:r w:rsidRPr="00D2042E">
        <w:t>Okrepiti kadrovske in strokovne zmogljivosti nacionalnih skupin CSIRT ter vzpostaviti nacionalno kibernetsko rezervo za aktivacijo dodatnih strokovnjakov za posamezne zahtevne incidente.</w:t>
      </w:r>
    </w:p>
    <w:p w14:paraId="629EB0F9" w14:textId="4D7DA4FE" w:rsidR="00D50F20" w:rsidRPr="00D2042E" w:rsidRDefault="00126A65">
      <w:pPr>
        <w:pStyle w:val="Odstavekseznama1"/>
        <w:numPr>
          <w:ilvl w:val="0"/>
          <w:numId w:val="6"/>
        </w:numPr>
        <w:spacing w:line="259" w:lineRule="auto"/>
        <w:ind w:left="720"/>
      </w:pPr>
      <w:r w:rsidRPr="00D2042E">
        <w:t xml:space="preserve">Krepiti izmenjavo informacij in sodelovanje med skupinami CSIRT in varnostno-operativnimi </w:t>
      </w:r>
      <w:proofErr w:type="gramStart"/>
      <w:r w:rsidRPr="00D2042E">
        <w:t>centri</w:t>
      </w:r>
      <w:proofErr w:type="gramEnd"/>
      <w:r w:rsidRPr="00D2042E">
        <w:t xml:space="preserve"> ter razviti nacionalni okvir za koordinirano razkrivanje ranljivosti.</w:t>
      </w:r>
    </w:p>
    <w:p w14:paraId="7CF819C5" w14:textId="6BE9AC11" w:rsidR="00D50F20" w:rsidRPr="00D2042E" w:rsidRDefault="00126A65">
      <w:pPr>
        <w:pStyle w:val="Odstavekseznama1"/>
        <w:numPr>
          <w:ilvl w:val="0"/>
          <w:numId w:val="6"/>
        </w:numPr>
        <w:spacing w:line="259" w:lineRule="auto"/>
        <w:ind w:left="720"/>
      </w:pPr>
      <w:r w:rsidRPr="00D2042E">
        <w:t xml:space="preserve">Zagotoviti pripravo, usklajevanje in redno preizkušanje postopkov odzivanja ter načrtov neprekinjenega poslovanja in okrevanja po informacijskih incidentih oziroma dogodkih ter redno izvajanje vaj. </w:t>
      </w:r>
    </w:p>
    <w:p w14:paraId="308AE27D" w14:textId="773A1556" w:rsidR="00D50F20" w:rsidRPr="00D2042E" w:rsidRDefault="00126A65">
      <w:pPr>
        <w:pStyle w:val="Odstavekseznama1"/>
        <w:numPr>
          <w:ilvl w:val="0"/>
          <w:numId w:val="6"/>
        </w:numPr>
        <w:spacing w:line="259" w:lineRule="auto"/>
        <w:ind w:left="720"/>
      </w:pPr>
      <w:r w:rsidRPr="00D2042E">
        <w:t>Okrepiti nacionalni sistem za zagotavljanje kibernetske obrambe, v katerega so lahko poleg subjektov javne uprave vključeni tudi subjekti iz gospodarstva, raziskovalno-razvojne organizacije, znanstvene institucije, interesna združenja in posamezniki.</w:t>
      </w:r>
    </w:p>
    <w:p w14:paraId="261C495E" w14:textId="6FEF0AE4" w:rsidR="00D50F20" w:rsidRPr="00D2042E" w:rsidRDefault="00126A65">
      <w:pPr>
        <w:pStyle w:val="Odstavekseznama1"/>
        <w:numPr>
          <w:ilvl w:val="0"/>
          <w:numId w:val="6"/>
        </w:numPr>
        <w:spacing w:line="259" w:lineRule="auto"/>
        <w:ind w:left="720"/>
      </w:pPr>
      <w:r w:rsidRPr="00D2042E">
        <w:lastRenderedPageBreak/>
        <w:t xml:space="preserve">Pred aktivacijo dodatnih strokovnjakov v okviru nacionalne kibernetske rezerve oziroma njihove vključitve v nacionalni sistem kibernetske obrambe urediti pogoje vključitve, preverjanje usposobljenosti, varovanje podatkov, odgovornost in financiranje in razmerje do obstoječih zmogljivosti. </w:t>
      </w:r>
    </w:p>
    <w:p w14:paraId="67497632" w14:textId="77777777" w:rsidR="00D50F20" w:rsidRPr="00D2042E" w:rsidRDefault="00126A65">
      <w:pPr>
        <w:spacing w:before="100" w:beforeAutospacing="1" w:after="100" w:afterAutospacing="1" w:line="300" w:lineRule="atLeast"/>
        <w:jc w:val="both"/>
        <w:rPr>
          <w:rFonts w:eastAsia="Times New Roman"/>
        </w:rPr>
      </w:pPr>
      <w:r w:rsidRPr="00D2042E">
        <w:rPr>
          <w:rFonts w:eastAsia="Times New Roman"/>
        </w:rPr>
        <w:t>Nacionalni načrt komuniciranja ob incidentih se uskladi z načrtom odzivanja ter pripravi in vzdržuje ob sodelovanju URSIV, pristojne vladne službe za komuniciranje in drugih pristojnih deležnikov. Določi odgovornosti za obveščanje javnosti, usklajevanje sporočil in dostopne kanale ob izpadu običajnih komunikacij.</w:t>
      </w:r>
    </w:p>
    <w:p w14:paraId="7A2FC611" w14:textId="2F0BC485" w:rsidR="00D50F20" w:rsidRPr="00D2042E" w:rsidRDefault="00D50F20">
      <w:pPr>
        <w:spacing w:after="140" w:line="300" w:lineRule="auto"/>
        <w:jc w:val="both"/>
      </w:pPr>
    </w:p>
    <w:p w14:paraId="7ED6439F" w14:textId="014E294E" w:rsidR="00D50F20" w:rsidRPr="00D2042E" w:rsidRDefault="00126A65">
      <w:pPr>
        <w:pStyle w:val="Naslov1"/>
        <w:rPr>
          <w:color w:val="auto"/>
        </w:rPr>
      </w:pPr>
      <w:bookmarkStart w:id="119" w:name="_Toc241499676"/>
      <w:bookmarkStart w:id="120" w:name="_Toc241499927"/>
      <w:bookmarkStart w:id="121" w:name="_Toc241500213"/>
      <w:bookmarkStart w:id="122" w:name="_Toc242102255"/>
      <w:bookmarkStart w:id="123" w:name="_Toc242102349"/>
      <w:bookmarkStart w:id="124" w:name="_Toc242128624"/>
      <w:bookmarkStart w:id="125" w:name="_Toc242128718"/>
      <w:bookmarkStart w:id="126" w:name="_Toc242364368"/>
      <w:bookmarkStart w:id="127" w:name="_Toc242799369"/>
      <w:r w:rsidRPr="00D2042E">
        <w:rPr>
          <w:color w:val="auto"/>
        </w:rPr>
        <w:t>KREPITEV NACIONALNEGA SISTEMA KIBERNETSKE VARNOSTI</w:t>
      </w:r>
      <w:bookmarkEnd w:id="119"/>
      <w:bookmarkEnd w:id="120"/>
      <w:bookmarkEnd w:id="121"/>
      <w:bookmarkEnd w:id="122"/>
      <w:bookmarkEnd w:id="123"/>
      <w:bookmarkEnd w:id="124"/>
      <w:bookmarkEnd w:id="125"/>
      <w:bookmarkEnd w:id="126"/>
      <w:bookmarkEnd w:id="127"/>
    </w:p>
    <w:p w14:paraId="39FB35F1" w14:textId="77777777" w:rsidR="00D50F20" w:rsidRPr="00D2042E" w:rsidRDefault="00126A65">
      <w:pPr>
        <w:pStyle w:val="Navaden5"/>
        <w:spacing w:line="300" w:lineRule="atLeast"/>
        <w:jc w:val="both"/>
      </w:pPr>
      <w:r w:rsidRPr="00D2042E">
        <w:t xml:space="preserve">Krepitev nacionalnega sistema kibernetske varnosti zajema razvoj upravljavskih, organizacijskih in tehničnih zmogljivosti, procesov in mehanizmov za zgodnje zaznavanje, preprečevanje, obravnavo in omejevanje posledic kibernetskih groženj ter obnovo prizadetih sistemov in storitev po incidentih. Nacionalni sistem temelji na načelih porazdeljene odgovornosti in usklajenega delovanja. Posamezni državni organi, skupine CSIRT, regulatorji, zavezanci in drugi deležniki so odgovorni za zagotavljanje kibernetske varnosti, pristojni nacionalni organ pa zagotavlja strateško koordinacijo, skupno situacijsko zavedanje, medsektorsko sodelovanje in usklajeno odzivanje na obsežne incidente ter krize. Delovanje nacionalnega sistema kibernetske varnosti temelji na učinkovitem usklajevanju, redni, varni in zaupanja vredni izmenjavi informacij med pristojnim nacionalnim organom, skupinami CSIRT, zavezanci in drugimi deležniki ter jasno določenih pristojnostih, postopkih odločanja in odgovornostih. </w:t>
      </w:r>
    </w:p>
    <w:p w14:paraId="7517EE8D" w14:textId="77777777" w:rsidR="00D50F20" w:rsidRPr="00D2042E" w:rsidRDefault="00D50F20">
      <w:pPr>
        <w:jc w:val="both"/>
      </w:pPr>
    </w:p>
    <w:p w14:paraId="1E165505" w14:textId="77777777" w:rsidR="00D50F20" w:rsidRPr="00D2042E" w:rsidRDefault="00126A65">
      <w:pPr>
        <w:pStyle w:val="Navaden5"/>
        <w:spacing w:line="300" w:lineRule="atLeast"/>
        <w:jc w:val="both"/>
      </w:pPr>
      <w:r w:rsidRPr="00D2042E">
        <w:t>Želeno stanje do leta 2035: odgovornosti nacionalnih deležnikov so jasno razmejene, izmenjava informacij deluje po dogovorjenih pravilih, usklajen odziv na obsežne incidente in krize pa je redno preizkušen ter izboljšan na podlagi ugotovljenih pomanjkljivosti.</w:t>
      </w:r>
    </w:p>
    <w:p w14:paraId="530A7986" w14:textId="77777777" w:rsidR="00D50F20" w:rsidRPr="00D2042E" w:rsidRDefault="00D50F20">
      <w:pPr>
        <w:jc w:val="both"/>
      </w:pPr>
    </w:p>
    <w:p w14:paraId="0F6C31D2" w14:textId="77777777" w:rsidR="00D50F20" w:rsidRPr="00D2042E" w:rsidRDefault="00D50F20">
      <w:pPr>
        <w:jc w:val="both"/>
      </w:pPr>
    </w:p>
    <w:p w14:paraId="74728BAB" w14:textId="77777777" w:rsidR="00D50F20" w:rsidRPr="00D2042E" w:rsidRDefault="00126A65">
      <w:pPr>
        <w:pStyle w:val="Naslov2"/>
        <w:rPr>
          <w:color w:val="auto"/>
        </w:rPr>
      </w:pPr>
      <w:bookmarkStart w:id="128" w:name="_Toc241499677"/>
      <w:bookmarkStart w:id="129" w:name="_Toc241499928"/>
      <w:bookmarkStart w:id="130" w:name="_Toc241500214"/>
      <w:bookmarkStart w:id="131" w:name="_Toc242102256"/>
      <w:bookmarkStart w:id="132" w:name="_Toc242102350"/>
      <w:bookmarkStart w:id="133" w:name="_Toc242128625"/>
      <w:bookmarkStart w:id="134" w:name="_Toc242128719"/>
      <w:bookmarkStart w:id="135" w:name="_Toc242364369"/>
      <w:bookmarkStart w:id="136" w:name="_Toc242799370"/>
      <w:r w:rsidRPr="00D2042E">
        <w:rPr>
          <w:color w:val="auto"/>
        </w:rPr>
        <w:t>Strateške usmeritve</w:t>
      </w:r>
      <w:bookmarkEnd w:id="128"/>
      <w:bookmarkEnd w:id="129"/>
      <w:bookmarkEnd w:id="130"/>
      <w:bookmarkEnd w:id="131"/>
      <w:bookmarkEnd w:id="132"/>
      <w:bookmarkEnd w:id="133"/>
      <w:bookmarkEnd w:id="134"/>
      <w:bookmarkEnd w:id="135"/>
      <w:bookmarkEnd w:id="136"/>
    </w:p>
    <w:p w14:paraId="3BA8D534" w14:textId="77777777" w:rsidR="00C11A57" w:rsidRDefault="00C11A57" w:rsidP="00C11A57">
      <w:pPr>
        <w:pStyle w:val="Odstavekseznama1"/>
        <w:numPr>
          <w:ilvl w:val="0"/>
          <w:numId w:val="7"/>
        </w:numPr>
        <w:rPr>
          <w:sz w:val="24"/>
          <w:szCs w:val="24"/>
        </w:rPr>
      </w:pPr>
      <w:r>
        <w:t>Krepiti nacionalno situacijsko zavedanje ter varno in pravočasno izmenjavo informacij o grožnjah, ranljivostih in incidentih, vključno s sektorskimi mehanizmi izmenjave, ob upoštevanju načela najmanjšega potrebnega razkritja podatkov.</w:t>
      </w:r>
    </w:p>
    <w:p w14:paraId="09474E80" w14:textId="77777777" w:rsidR="00C11A57" w:rsidRDefault="00C11A57" w:rsidP="00C11A57">
      <w:pPr>
        <w:pStyle w:val="Odstavekseznama1"/>
        <w:numPr>
          <w:ilvl w:val="0"/>
          <w:numId w:val="7"/>
        </w:numPr>
        <w:rPr>
          <w:sz w:val="24"/>
          <w:szCs w:val="24"/>
        </w:rPr>
      </w:pPr>
      <w:r>
        <w:t xml:space="preserve">Spodbujati in podpirati prostovoljno izmenjavo uporabnih informacij o kibernetski varnosti med subjekti, vključno z izkušnjami in pridobljenimi spoznanji, z uporabo standardiziranih postopkov, varnih komunikacijskih poti in ustreznih tehničnih orodij. </w:t>
      </w:r>
    </w:p>
    <w:p w14:paraId="05E1B584" w14:textId="77777777" w:rsidR="00C11A57" w:rsidRDefault="00C11A57" w:rsidP="00C11A57">
      <w:pPr>
        <w:pStyle w:val="Odstavekseznama1"/>
        <w:numPr>
          <w:ilvl w:val="0"/>
          <w:numId w:val="7"/>
        </w:numPr>
        <w:rPr>
          <w:sz w:val="24"/>
          <w:szCs w:val="24"/>
        </w:rPr>
      </w:pPr>
      <w:r>
        <w:t xml:space="preserve">Krepiti delovanje in zmogljivosti Nacionalnega kibernetskega vozlišča kot povezovalne točke za izmenjavo informacij, analitično podporo, zgodnje opozarjanje ter koordinacijo med nacionalnimi, sektorskimi, </w:t>
      </w:r>
      <w:proofErr w:type="gramStart"/>
      <w:r>
        <w:t>regulatornimi</w:t>
      </w:r>
      <w:proofErr w:type="gramEnd"/>
      <w:r>
        <w:t xml:space="preserve"> in evropskimi strukturami.</w:t>
      </w:r>
    </w:p>
    <w:p w14:paraId="7C52085A" w14:textId="77777777" w:rsidR="00C11A57" w:rsidRDefault="00C11A57" w:rsidP="00C11A57">
      <w:pPr>
        <w:pStyle w:val="Odstavekseznama1"/>
        <w:numPr>
          <w:ilvl w:val="0"/>
          <w:numId w:val="7"/>
        </w:numPr>
        <w:rPr>
          <w:sz w:val="24"/>
          <w:szCs w:val="24"/>
        </w:rPr>
      </w:pPr>
      <w:r>
        <w:t xml:space="preserve">Spodbujati </w:t>
      </w:r>
      <w:proofErr w:type="gramStart"/>
      <w:r>
        <w:t>preventivne</w:t>
      </w:r>
      <w:proofErr w:type="gramEnd"/>
      <w:r>
        <w:t xml:space="preserve"> dejavnosti in ukrepe kibernetske zaščite za prebivalstvo, gospodarstvo in javni sektor z namenom krepitve varnega ravnanja ter odpornosti omrežnih in informacijskih sistemov, organizacijskih procesov in storitev, pomembnih za delovanje družbe, gospodarstva in države.</w:t>
      </w:r>
    </w:p>
    <w:p w14:paraId="57A197E9" w14:textId="77777777" w:rsidR="00C11A57" w:rsidRDefault="00C11A57" w:rsidP="00C11A57">
      <w:pPr>
        <w:pStyle w:val="Odstavekseznama1"/>
        <w:numPr>
          <w:ilvl w:val="0"/>
          <w:numId w:val="7"/>
        </w:numPr>
        <w:rPr>
          <w:sz w:val="24"/>
          <w:szCs w:val="24"/>
        </w:rPr>
      </w:pPr>
      <w:r>
        <w:t xml:space="preserve">Krepiti </w:t>
      </w:r>
      <w:proofErr w:type="gramStart"/>
      <w:r>
        <w:t>preventivno</w:t>
      </w:r>
      <w:proofErr w:type="gramEnd"/>
      <w:r>
        <w:t xml:space="preserve"> odkrivanje ranljivosti, upravljanje izpostavljenosti, spremljanje groženj ter zaščito ključnih informacijskih sistemov, spletnih storitev in portalov.</w:t>
      </w:r>
    </w:p>
    <w:p w14:paraId="6897FA08" w14:textId="77777777" w:rsidR="00C11A57" w:rsidRDefault="00C11A57" w:rsidP="00C11A57">
      <w:pPr>
        <w:pStyle w:val="Odstavekseznama1"/>
        <w:numPr>
          <w:ilvl w:val="0"/>
          <w:numId w:val="7"/>
        </w:numPr>
        <w:rPr>
          <w:sz w:val="24"/>
          <w:szCs w:val="24"/>
        </w:rPr>
      </w:pPr>
      <w:proofErr w:type="gramStart"/>
      <w:r>
        <w:lastRenderedPageBreak/>
        <w:t>Preventivno</w:t>
      </w:r>
      <w:proofErr w:type="gramEnd"/>
      <w:r>
        <w:t xml:space="preserve"> odkrivanje in usklajeno razkrivanje ranljivosti se izvajata po vnaprej določenih pravilih glede pooblastil, obsega preverjanja, zaupnosti podatkov in rokov obveščanja. Spodbujajo se raziskave v dobri veri ter jasni dogovori med raziskovalci, upravljavci in pristojnimi skupinami CSIRT ob spoštovanju veljavne zakonodaje in preprečevanju škode.</w:t>
      </w:r>
    </w:p>
    <w:p w14:paraId="1CBB668A" w14:textId="77777777" w:rsidR="00C11A57" w:rsidRDefault="00C11A57" w:rsidP="00C11A57">
      <w:pPr>
        <w:pStyle w:val="Odstavekseznama1"/>
        <w:numPr>
          <w:ilvl w:val="0"/>
          <w:numId w:val="7"/>
        </w:numPr>
        <w:rPr>
          <w:sz w:val="24"/>
          <w:szCs w:val="24"/>
        </w:rPr>
      </w:pPr>
      <w:r>
        <w:t xml:space="preserve">Vzpostaviti situacijski </w:t>
      </w:r>
      <w:proofErr w:type="gramStart"/>
      <w:r>
        <w:t>center</w:t>
      </w:r>
      <w:proofErr w:type="gramEnd"/>
      <w:r>
        <w:t xml:space="preserve"> kibernetske obrambe</w:t>
      </w:r>
      <w:r>
        <w:rPr>
          <w:rFonts w:ascii="Segoe UI" w:hAnsi="Segoe UI" w:cs="Segoe UI"/>
          <w:sz w:val="18"/>
          <w:szCs w:val="18"/>
        </w:rPr>
        <w:t xml:space="preserve"> </w:t>
      </w:r>
      <w:r>
        <w:t>za zaznavanje in spremljanje kibernetskih groženj ter izvajanje postopkov za omejitev njihovih posledic.</w:t>
      </w:r>
    </w:p>
    <w:p w14:paraId="2B5AFE1B" w14:textId="77777777" w:rsidR="00C11A57" w:rsidRDefault="00C11A57" w:rsidP="00C11A57">
      <w:pPr>
        <w:pStyle w:val="Odstavekseznama1"/>
        <w:numPr>
          <w:ilvl w:val="0"/>
          <w:numId w:val="7"/>
        </w:numPr>
        <w:rPr>
          <w:sz w:val="24"/>
          <w:szCs w:val="24"/>
        </w:rPr>
      </w:pPr>
      <w:r>
        <w:t xml:space="preserve">Razvijati in vzdrževati nacionalno karto sistemskih tveganj in jo povezati s presojo ključnih dobaviteljev ter z vključevanjem in natančno opredelitvijo </w:t>
      </w:r>
      <w:proofErr w:type="spellStart"/>
      <w:r>
        <w:t>kibernetskovarnostnih</w:t>
      </w:r>
      <w:proofErr w:type="spellEnd"/>
      <w:r>
        <w:t xml:space="preserve"> zahtev pri javnem naročanju proizvodov in storitev IKT, vključno s certificiranjem za kibernetsko varnost, ustreznim šifriranjem in uporabo odprtokodnih proizvodov za kibernetsko varnost. </w:t>
      </w:r>
    </w:p>
    <w:p w14:paraId="42DADA0A" w14:textId="77777777" w:rsidR="00C11A57" w:rsidRDefault="00C11A57" w:rsidP="00C11A57">
      <w:pPr>
        <w:pStyle w:val="Odstavekseznama1"/>
        <w:numPr>
          <w:ilvl w:val="0"/>
          <w:numId w:val="7"/>
        </w:numPr>
        <w:rPr>
          <w:sz w:val="24"/>
          <w:szCs w:val="24"/>
        </w:rPr>
      </w:pPr>
      <w:r>
        <w:t>Krepiti obrambo in odpornost informacijskega prostora.</w:t>
      </w:r>
    </w:p>
    <w:p w14:paraId="5EC7F24C" w14:textId="77777777" w:rsidR="00D50F20" w:rsidRPr="00D2042E" w:rsidRDefault="00126A65">
      <w:r w:rsidRPr="00D2042E">
        <w:br w:type="page"/>
      </w:r>
    </w:p>
    <w:p w14:paraId="37A746FE" w14:textId="77777777" w:rsidR="00D50F20" w:rsidRPr="00D2042E" w:rsidRDefault="00126A65">
      <w:pPr>
        <w:pStyle w:val="Naslov1"/>
        <w:rPr>
          <w:color w:val="auto"/>
        </w:rPr>
      </w:pPr>
      <w:bookmarkStart w:id="137" w:name="_Toc241499678"/>
      <w:bookmarkStart w:id="138" w:name="_Toc241499929"/>
      <w:bookmarkStart w:id="139" w:name="_Toc241500215"/>
      <w:bookmarkStart w:id="140" w:name="_Toc242102257"/>
      <w:bookmarkStart w:id="141" w:name="_Toc242102351"/>
      <w:bookmarkStart w:id="142" w:name="_Toc242128626"/>
      <w:bookmarkStart w:id="143" w:name="_Toc242128720"/>
      <w:bookmarkStart w:id="144" w:name="_Toc242364370"/>
      <w:bookmarkStart w:id="145" w:name="_Toc242799371"/>
      <w:r w:rsidRPr="00D2042E">
        <w:rPr>
          <w:color w:val="auto"/>
        </w:rPr>
        <w:lastRenderedPageBreak/>
        <w:t>KREPITEV ODPORNOSTI DRUŽBE V KIBERNETSKEM PROSTORU</w:t>
      </w:r>
      <w:bookmarkEnd w:id="137"/>
      <w:bookmarkEnd w:id="138"/>
      <w:bookmarkEnd w:id="139"/>
      <w:bookmarkEnd w:id="140"/>
      <w:bookmarkEnd w:id="141"/>
      <w:bookmarkEnd w:id="142"/>
      <w:bookmarkEnd w:id="143"/>
      <w:bookmarkEnd w:id="144"/>
      <w:bookmarkEnd w:id="145"/>
    </w:p>
    <w:p w14:paraId="526356D7" w14:textId="5D1529AE" w:rsidR="00D50F20" w:rsidRPr="00D2042E" w:rsidRDefault="00126A65">
      <w:pPr>
        <w:spacing w:line="300" w:lineRule="atLeast"/>
        <w:jc w:val="both"/>
        <w:rPr>
          <w:rFonts w:eastAsia="Times New Roman"/>
        </w:rPr>
      </w:pPr>
      <w:r w:rsidRPr="00D2042E">
        <w:rPr>
          <w:rFonts w:eastAsia="Times New Roman"/>
        </w:rPr>
        <w:t>Kibernetska odpornost pomeni sposobnost prebivalstva, sistemov in organizacij, da prepoznajo in predvidijo grožnje, prenesejo motnje, ohranijo ključne funkcije, pravočasno obnovijo delovanje, upoštevajo pridobljene izkušnje in spoznanja ter se prilagodijo novim tveganjem. Posebna pozornost je namenjena javnim storitvam, pomembnim za prebivalstvo, zlasti socialni varnosti, zdravstvu in drugim ključnim storitvam, pri katerih so načrti neprekinjenega poslovanja in okrevanja po incidentih sestavni del obvladovanja tveganj.</w:t>
      </w:r>
    </w:p>
    <w:p w14:paraId="2ACB3DBE" w14:textId="77777777" w:rsidR="00D50F20" w:rsidRPr="00D2042E" w:rsidRDefault="00D50F20">
      <w:pPr>
        <w:spacing w:line="300" w:lineRule="atLeast"/>
        <w:jc w:val="both"/>
        <w:rPr>
          <w:rFonts w:eastAsia="Times New Roman"/>
        </w:rPr>
      </w:pPr>
    </w:p>
    <w:p w14:paraId="5A1C357D" w14:textId="28CBBAD5" w:rsidR="00D50F20" w:rsidRPr="00D2042E" w:rsidRDefault="00126A65">
      <w:pPr>
        <w:spacing w:line="300" w:lineRule="atLeast"/>
        <w:jc w:val="both"/>
        <w:rPr>
          <w:rFonts w:eastAsia="Times New Roman"/>
        </w:rPr>
      </w:pPr>
      <w:r w:rsidRPr="00D2042E">
        <w:rPr>
          <w:rFonts w:eastAsia="Times New Roman"/>
        </w:rPr>
        <w:t>Želeno stanje do leta 2035: upravljavci prednostnih storitev dokazljivo ohranjajo ključne funkcije oziroma obnovijo delovanje v določenem sprejemljivem času. Prebivalci in podjetja bolje obvladujejo osnovne varnostne prakse, prednostne infrastrukturne in dobavne odvisnosti pa se sistematično obravnavajo.</w:t>
      </w:r>
    </w:p>
    <w:p w14:paraId="397616DC" w14:textId="77777777" w:rsidR="00D50F20" w:rsidRPr="00D2042E" w:rsidRDefault="00126A65">
      <w:pPr>
        <w:pStyle w:val="Naslov2"/>
        <w:rPr>
          <w:color w:val="auto"/>
          <w:kern w:val="2"/>
          <w14:ligatures w14:val="standardContextual"/>
        </w:rPr>
      </w:pPr>
      <w:bookmarkStart w:id="146" w:name="_Toc241499679"/>
      <w:bookmarkStart w:id="147" w:name="_Toc241499930"/>
      <w:bookmarkStart w:id="148" w:name="_Toc241500216"/>
      <w:bookmarkStart w:id="149" w:name="_Toc242102258"/>
      <w:bookmarkStart w:id="150" w:name="_Toc242102352"/>
      <w:bookmarkStart w:id="151" w:name="_Toc242128627"/>
      <w:bookmarkStart w:id="152" w:name="_Toc242128721"/>
      <w:bookmarkStart w:id="153" w:name="_Toc242364371"/>
      <w:bookmarkStart w:id="154" w:name="_Toc242799372"/>
      <w:bookmarkEnd w:id="146"/>
      <w:bookmarkEnd w:id="147"/>
      <w:r w:rsidRPr="00D2042E">
        <w:rPr>
          <w:color w:val="auto"/>
        </w:rPr>
        <w:t xml:space="preserve">Zaščita ključnih digitalnih infrastruktur in javnega jedra </w:t>
      </w:r>
      <w:proofErr w:type="gramStart"/>
      <w:r w:rsidRPr="00D2042E">
        <w:rPr>
          <w:color w:val="auto"/>
        </w:rPr>
        <w:t>interneta</w:t>
      </w:r>
      <w:bookmarkEnd w:id="148"/>
      <w:bookmarkEnd w:id="149"/>
      <w:bookmarkEnd w:id="150"/>
      <w:bookmarkEnd w:id="151"/>
      <w:bookmarkEnd w:id="152"/>
      <w:bookmarkEnd w:id="153"/>
      <w:bookmarkEnd w:id="154"/>
      <w:proofErr w:type="gramEnd"/>
    </w:p>
    <w:p w14:paraId="376CD5F4" w14:textId="1AA5117F" w:rsidR="00D50F20" w:rsidRPr="00D2042E" w:rsidRDefault="00126A65">
      <w:pPr>
        <w:spacing w:after="140" w:line="300" w:lineRule="auto"/>
        <w:jc w:val="both"/>
      </w:pPr>
      <w:r w:rsidRPr="00D2042E">
        <w:t xml:space="preserve">Ključne digitalne infrastrukture in javno jedro </w:t>
      </w:r>
      <w:proofErr w:type="gramStart"/>
      <w:r w:rsidRPr="00D2042E">
        <w:t>interneta</w:t>
      </w:r>
      <w:proofErr w:type="gramEnd"/>
      <w:r w:rsidRPr="00D2042E">
        <w:t xml:space="preserve"> predstavljajo temelj za delovanje digitalne družbe, gospodarstva in javnega sektorja. Zaradi medsebojne povezanosti in odvisnosti storitev lahko motnje v teh sistemih povzročijo takojšnje kaskadne učinke na vse sektorje, zato Republika Slovenija njihovo zaščito obravnava kot prednostno nalogo v okviru krepitve odpornosti družbe.</w:t>
      </w:r>
    </w:p>
    <w:p w14:paraId="3500D569" w14:textId="77777777" w:rsidR="00D50F20" w:rsidRPr="00D2042E" w:rsidRDefault="00126A65">
      <w:pPr>
        <w:pStyle w:val="Naslov3"/>
      </w:pPr>
      <w:bookmarkStart w:id="155" w:name="_Toc242102259"/>
      <w:bookmarkStart w:id="156" w:name="_Toc242102353"/>
      <w:bookmarkStart w:id="157" w:name="_Toc242128628"/>
      <w:bookmarkStart w:id="158" w:name="_Toc242128722"/>
      <w:bookmarkStart w:id="159" w:name="_Toc242364372"/>
      <w:bookmarkStart w:id="160" w:name="_Toc242799373"/>
      <w:r w:rsidRPr="00D2042E">
        <w:rPr>
          <w:sz w:val="24"/>
          <w:szCs w:val="24"/>
        </w:rPr>
        <w:t>Strateške usmeritve</w:t>
      </w:r>
      <w:bookmarkEnd w:id="155"/>
      <w:bookmarkEnd w:id="156"/>
      <w:bookmarkEnd w:id="157"/>
      <w:bookmarkEnd w:id="158"/>
      <w:bookmarkEnd w:id="159"/>
      <w:bookmarkEnd w:id="160"/>
    </w:p>
    <w:p w14:paraId="19B35F25" w14:textId="37239205" w:rsidR="00D50F20" w:rsidRPr="00D2042E" w:rsidRDefault="00126A65">
      <w:pPr>
        <w:pStyle w:val="Odstavekseznama1"/>
        <w:numPr>
          <w:ilvl w:val="0"/>
          <w:numId w:val="3"/>
        </w:numPr>
      </w:pPr>
      <w:r w:rsidRPr="00D2042E">
        <w:t>Krepiti odpornost ključnih digitalnih infrastruktur, osnovnih internetnih storitev in osrednjega komunikacijskega omrežja državne uprave.</w:t>
      </w:r>
    </w:p>
    <w:p w14:paraId="5DB25AF4" w14:textId="77777777" w:rsidR="00D50F20" w:rsidRPr="00D2042E" w:rsidRDefault="00126A65">
      <w:pPr>
        <w:pStyle w:val="Odstavekseznama1"/>
        <w:numPr>
          <w:ilvl w:val="0"/>
          <w:numId w:val="3"/>
        </w:numPr>
      </w:pPr>
      <w:r w:rsidRPr="00D2042E">
        <w:t xml:space="preserve">Krepiti odpornost in posodabljati arhitekturo omrežja HKOM z ustrezno </w:t>
      </w:r>
      <w:proofErr w:type="gramStart"/>
      <w:r w:rsidRPr="00D2042E">
        <w:t>segmentacijo</w:t>
      </w:r>
      <w:proofErr w:type="gramEnd"/>
      <w:r w:rsidRPr="00D2042E">
        <w:t>, centraliziranim upravljanjem zaščitnih mehanizmov in večjo odpornostjo proti kibernetskim grožnjam.</w:t>
      </w:r>
    </w:p>
    <w:p w14:paraId="25D439D1" w14:textId="77777777" w:rsidR="00D50F20" w:rsidRPr="00D2042E" w:rsidRDefault="00126A65">
      <w:pPr>
        <w:pStyle w:val="Odstavekseznama1"/>
        <w:numPr>
          <w:ilvl w:val="0"/>
          <w:numId w:val="3"/>
        </w:numPr>
      </w:pPr>
      <w:r w:rsidRPr="00D2042E">
        <w:t>Krepiti odpornost sistemov DNS, usmerjanja, nacionalne vrhnje domene in drugih temeljnih internetnih storitev.</w:t>
      </w:r>
    </w:p>
    <w:p w14:paraId="7385A9A2" w14:textId="77777777" w:rsidR="00D50F20" w:rsidRDefault="00126A65" w:rsidP="00465F0B">
      <w:pPr>
        <w:pStyle w:val="Odstavekseznama1"/>
        <w:numPr>
          <w:ilvl w:val="0"/>
          <w:numId w:val="3"/>
        </w:numPr>
      </w:pPr>
      <w:r w:rsidRPr="00D40797">
        <w:t xml:space="preserve">Pri zaščiti javnega jedra odprtega </w:t>
      </w:r>
      <w:proofErr w:type="gramStart"/>
      <w:r w:rsidRPr="00D40797">
        <w:t>interneta</w:t>
      </w:r>
      <w:proofErr w:type="gramEnd"/>
      <w:r w:rsidRPr="00D40797">
        <w:t xml:space="preserve"> se upoštevajo tudi odvisnosti od čezmejnih povezav, zlasti raznolikost povezav, rezervne poti ter sodelovanje z upravljavci in partnerskimi državami.</w:t>
      </w:r>
    </w:p>
    <w:p w14:paraId="59BAC3FE" w14:textId="77777777" w:rsidR="00D50F20" w:rsidRPr="00D2042E" w:rsidRDefault="00126A65">
      <w:pPr>
        <w:pStyle w:val="Odstavekseznama1"/>
        <w:numPr>
          <w:ilvl w:val="0"/>
          <w:numId w:val="3"/>
        </w:numPr>
      </w:pPr>
      <w:r w:rsidRPr="00D2042E">
        <w:t>Spremljati tveganja v digitalnih dobavnih verigah ter izboljševati situacijsko zavedanje o sistemskih tveganjih in odvisnostih.</w:t>
      </w:r>
    </w:p>
    <w:p w14:paraId="7E021621" w14:textId="6004EA89" w:rsidR="00D50F20" w:rsidRPr="00D2042E" w:rsidRDefault="00126A65">
      <w:pPr>
        <w:pStyle w:val="Odstavekseznama1"/>
        <w:numPr>
          <w:ilvl w:val="0"/>
          <w:numId w:val="3"/>
        </w:numPr>
      </w:pPr>
      <w:r w:rsidRPr="00D2042E">
        <w:t xml:space="preserve">Zagotoviti pravočasen, usklajen in obvladovan prehod javne uprave, </w:t>
      </w:r>
      <w:proofErr w:type="gramStart"/>
      <w:r w:rsidRPr="00D2042E">
        <w:t>kritične infrastrukture</w:t>
      </w:r>
      <w:proofErr w:type="gramEnd"/>
      <w:r w:rsidRPr="00D2042E">
        <w:t xml:space="preserve"> in zavezancev po ZInfV-1 na kvantno odporno kriptografijo ob vzpostavitvi trajne kriptografske agilnosti.</w:t>
      </w:r>
      <w:bookmarkStart w:id="161" w:name="_Toc241499931"/>
    </w:p>
    <w:p w14:paraId="6CFDC289" w14:textId="115827F8" w:rsidR="00D50F20" w:rsidRPr="00D2042E" w:rsidRDefault="00126A65">
      <w:pPr>
        <w:pStyle w:val="Odstavekseznama1"/>
        <w:numPr>
          <w:ilvl w:val="0"/>
          <w:numId w:val="3"/>
        </w:numPr>
      </w:pPr>
      <w:r w:rsidRPr="00D2042E">
        <w:t>Spodbujati sodelovanje med upravljavci ključnih digitalnih infrastruktur ter upoštevati evropske in mednarodne dobre prakse.</w:t>
      </w:r>
      <w:bookmarkEnd w:id="161"/>
      <w:r w:rsidRPr="00D2042E">
        <w:t xml:space="preserve"> </w:t>
      </w:r>
    </w:p>
    <w:p w14:paraId="7A27FB37" w14:textId="77777777" w:rsidR="00D50F20" w:rsidRPr="00D2042E" w:rsidRDefault="00D50F20">
      <w:pPr>
        <w:spacing w:after="140" w:line="300" w:lineRule="auto"/>
        <w:jc w:val="both"/>
      </w:pPr>
      <w:bookmarkStart w:id="162" w:name="_Toc241499932"/>
    </w:p>
    <w:p w14:paraId="2BEBA8C8" w14:textId="1CED112E" w:rsidR="00D50F20" w:rsidRPr="00D2042E" w:rsidRDefault="00126A65">
      <w:pPr>
        <w:spacing w:after="140" w:line="300" w:lineRule="auto"/>
        <w:jc w:val="both"/>
      </w:pPr>
      <w:r w:rsidRPr="00D2042E">
        <w:t>Posebna pozornost se nameni varnosti operativnih tehnologij in industrijskih krmilnih sistemov, vključno z ločevanjem omrežij, nadzorom oddaljenih dostopov in varnim vzdrževanjem ob upoštevanju neprekinjenosti in fizične varnosti procesov. Za ključne storitve se določijo sprejemljivi časi obnove in dopustna izguba podatkov, redno se preizkuša obnova iz zaščitenih varnostnih kopij in načrtuje minimalno delovanje ob daljšem izpadu električne energije, komunikacij ali skupnih digitalnih storitev.</w:t>
      </w:r>
      <w:bookmarkEnd w:id="162"/>
    </w:p>
    <w:p w14:paraId="1CD5724D" w14:textId="77777777" w:rsidR="00D50F20" w:rsidRPr="00D2042E" w:rsidRDefault="00126A65">
      <w:pPr>
        <w:pStyle w:val="Naslov2"/>
        <w:rPr>
          <w:color w:val="auto"/>
          <w:kern w:val="2"/>
          <w14:ligatures w14:val="standardContextual"/>
        </w:rPr>
      </w:pPr>
      <w:bookmarkStart w:id="163" w:name="_Toc242102260"/>
      <w:bookmarkStart w:id="164" w:name="_Toc242102354"/>
      <w:bookmarkStart w:id="165" w:name="_Toc242128629"/>
      <w:bookmarkStart w:id="166" w:name="_Toc242128723"/>
      <w:bookmarkStart w:id="167" w:name="_Toc242364373"/>
      <w:bookmarkStart w:id="168" w:name="_Toc242799374"/>
      <w:r w:rsidRPr="00D2042E">
        <w:rPr>
          <w:color w:val="auto"/>
        </w:rPr>
        <w:t>Digitalna identiteta in zaupanje v digitalne storitve</w:t>
      </w:r>
      <w:bookmarkEnd w:id="163"/>
      <w:bookmarkEnd w:id="164"/>
      <w:bookmarkEnd w:id="165"/>
      <w:bookmarkEnd w:id="166"/>
      <w:bookmarkEnd w:id="167"/>
      <w:bookmarkEnd w:id="168"/>
    </w:p>
    <w:p w14:paraId="6C79C856" w14:textId="7C1343BC" w:rsidR="00D50F20" w:rsidRPr="00D2042E" w:rsidRDefault="00126A65">
      <w:pPr>
        <w:pStyle w:val="paragraph"/>
        <w:spacing w:before="0" w:beforeAutospacing="0" w:after="0" w:afterAutospacing="0" w:line="300" w:lineRule="auto"/>
        <w:jc w:val="both"/>
        <w:textAlignment w:val="baseline"/>
        <w:rPr>
          <w:rFonts w:ascii="Calibri" w:hAnsi="Calibri" w:cs="Calibri"/>
          <w:sz w:val="22"/>
          <w:szCs w:val="22"/>
        </w:rPr>
      </w:pPr>
      <w:r w:rsidRPr="00D2042E">
        <w:rPr>
          <w:rFonts w:ascii="Calibri" w:hAnsi="Calibri" w:cs="Calibri"/>
          <w:sz w:val="22"/>
          <w:szCs w:val="22"/>
        </w:rPr>
        <w:t xml:space="preserve">Varna digitalna identiteta in zaupanje v digitalne storitve sta temelj digitalne družbe, gospodarstva in elektronskega poslovanja. Ker so zlorabe identitet med pogostimi kibernetskimi incidenti, bo Republika </w:t>
      </w:r>
      <w:r w:rsidRPr="00D2042E">
        <w:rPr>
          <w:rFonts w:ascii="Calibri" w:hAnsi="Calibri" w:cs="Calibri"/>
          <w:sz w:val="22"/>
          <w:szCs w:val="22"/>
        </w:rPr>
        <w:lastRenderedPageBreak/>
        <w:t xml:space="preserve">Slovenija krepila odpornost identitetnih sistemov ter zagotavljala izvajanje evropskega in nacionalnega okvira za elektronsko identifikacijo in storitve zaupanja, vključno z uredbo </w:t>
      </w:r>
      <w:proofErr w:type="spellStart"/>
      <w:r w:rsidRPr="00D2042E">
        <w:rPr>
          <w:rFonts w:ascii="Calibri" w:hAnsi="Calibri" w:cs="Calibri"/>
          <w:sz w:val="22"/>
          <w:szCs w:val="22"/>
        </w:rPr>
        <w:t>eIDAS</w:t>
      </w:r>
      <w:proofErr w:type="spellEnd"/>
      <w:r w:rsidRPr="00D2042E">
        <w:rPr>
          <w:rFonts w:ascii="Calibri" w:hAnsi="Calibri" w:cs="Calibri"/>
          <w:sz w:val="22"/>
          <w:szCs w:val="22"/>
        </w:rPr>
        <w:t xml:space="preserve"> (angl. </w:t>
      </w:r>
      <w:proofErr w:type="spellStart"/>
      <w:r w:rsidRPr="00D2042E">
        <w:rPr>
          <w:rFonts w:ascii="Calibri" w:hAnsi="Calibri" w:cs="Calibri"/>
          <w:i/>
          <w:iCs/>
          <w:sz w:val="22"/>
          <w:szCs w:val="22"/>
        </w:rPr>
        <w:t>electronic</w:t>
      </w:r>
      <w:proofErr w:type="spellEnd"/>
      <w:r w:rsidRPr="00D2042E">
        <w:rPr>
          <w:rFonts w:ascii="Calibri" w:hAnsi="Calibri" w:cs="Calibri"/>
          <w:i/>
          <w:iCs/>
          <w:sz w:val="22"/>
          <w:szCs w:val="22"/>
        </w:rPr>
        <w:t xml:space="preserve"> </w:t>
      </w:r>
      <w:proofErr w:type="spellStart"/>
      <w:r w:rsidRPr="00D2042E">
        <w:rPr>
          <w:rFonts w:ascii="Calibri" w:hAnsi="Calibri" w:cs="Calibri"/>
          <w:i/>
          <w:iCs/>
          <w:sz w:val="22"/>
          <w:szCs w:val="22"/>
        </w:rPr>
        <w:t>identification</w:t>
      </w:r>
      <w:proofErr w:type="spellEnd"/>
      <w:r w:rsidRPr="00D2042E">
        <w:rPr>
          <w:rFonts w:ascii="Calibri" w:hAnsi="Calibri" w:cs="Calibri"/>
          <w:i/>
          <w:iCs/>
          <w:sz w:val="22"/>
          <w:szCs w:val="22"/>
        </w:rPr>
        <w:t xml:space="preserve">, </w:t>
      </w:r>
      <w:proofErr w:type="spellStart"/>
      <w:r w:rsidRPr="00D2042E">
        <w:rPr>
          <w:rFonts w:ascii="Calibri" w:hAnsi="Calibri" w:cs="Calibri"/>
          <w:i/>
          <w:iCs/>
          <w:sz w:val="22"/>
          <w:szCs w:val="22"/>
        </w:rPr>
        <w:t>authentication</w:t>
      </w:r>
      <w:proofErr w:type="spellEnd"/>
      <w:r w:rsidRPr="00D2042E">
        <w:rPr>
          <w:rFonts w:ascii="Calibri" w:hAnsi="Calibri" w:cs="Calibri"/>
          <w:i/>
          <w:iCs/>
          <w:sz w:val="22"/>
          <w:szCs w:val="22"/>
        </w:rPr>
        <w:t xml:space="preserve"> </w:t>
      </w:r>
      <w:proofErr w:type="gramStart"/>
      <w:r w:rsidRPr="00D2042E">
        <w:rPr>
          <w:rFonts w:ascii="Calibri" w:hAnsi="Calibri" w:cs="Calibri"/>
          <w:i/>
          <w:iCs/>
          <w:sz w:val="22"/>
          <w:szCs w:val="22"/>
        </w:rPr>
        <w:t>and</w:t>
      </w:r>
      <w:proofErr w:type="gramEnd"/>
      <w:r w:rsidRPr="00D2042E">
        <w:rPr>
          <w:rFonts w:ascii="Calibri" w:hAnsi="Calibri" w:cs="Calibri"/>
          <w:i/>
          <w:iCs/>
          <w:sz w:val="22"/>
          <w:szCs w:val="22"/>
        </w:rPr>
        <w:t xml:space="preserve"> trust </w:t>
      </w:r>
      <w:proofErr w:type="spellStart"/>
      <w:r w:rsidRPr="00D2042E">
        <w:rPr>
          <w:rFonts w:ascii="Calibri" w:hAnsi="Calibri" w:cs="Calibri"/>
          <w:i/>
          <w:iCs/>
          <w:sz w:val="22"/>
          <w:szCs w:val="22"/>
        </w:rPr>
        <w:t>services</w:t>
      </w:r>
      <w:proofErr w:type="spellEnd"/>
      <w:r w:rsidRPr="00D2042E">
        <w:rPr>
          <w:rFonts w:ascii="Calibri" w:hAnsi="Calibri" w:cs="Calibri"/>
          <w:sz w:val="22"/>
          <w:szCs w:val="22"/>
        </w:rPr>
        <w:t xml:space="preserve"> – elektronska identifikacija, avtentikacija in storitve zaupanja) ter evropskim okvirom za digitalno identiteto, ki vključuje evropsko denarnico za digitalno identiteto.</w:t>
      </w:r>
    </w:p>
    <w:p w14:paraId="6EAC638D" w14:textId="77777777" w:rsidR="00D50F20" w:rsidRPr="00D2042E" w:rsidRDefault="00D50F20">
      <w:pPr>
        <w:pStyle w:val="paragraph"/>
        <w:spacing w:before="0" w:beforeAutospacing="0" w:after="0" w:afterAutospacing="0"/>
        <w:jc w:val="both"/>
        <w:textAlignment w:val="baseline"/>
        <w:rPr>
          <w:rFonts w:ascii="Segoe UI" w:hAnsi="Segoe UI" w:cs="Segoe UI"/>
          <w:sz w:val="18"/>
          <w:szCs w:val="18"/>
        </w:rPr>
      </w:pPr>
    </w:p>
    <w:p w14:paraId="5D02F6CF" w14:textId="77777777" w:rsidR="00D50F20" w:rsidRPr="00D2042E" w:rsidRDefault="00126A65">
      <w:pPr>
        <w:pStyle w:val="Naslov3"/>
      </w:pPr>
      <w:bookmarkStart w:id="169" w:name="_Toc242102261"/>
      <w:bookmarkStart w:id="170" w:name="_Toc242102355"/>
      <w:bookmarkStart w:id="171" w:name="_Toc242128630"/>
      <w:bookmarkStart w:id="172" w:name="_Toc242128724"/>
      <w:bookmarkStart w:id="173" w:name="_Toc242364374"/>
      <w:bookmarkStart w:id="174" w:name="_Toc242799375"/>
      <w:r w:rsidRPr="00D2042E">
        <w:t>Strateške usmeritve</w:t>
      </w:r>
      <w:bookmarkEnd w:id="169"/>
      <w:bookmarkEnd w:id="170"/>
      <w:bookmarkEnd w:id="171"/>
      <w:bookmarkEnd w:id="172"/>
      <w:bookmarkEnd w:id="173"/>
      <w:bookmarkEnd w:id="174"/>
    </w:p>
    <w:p w14:paraId="277D91F8" w14:textId="77777777" w:rsidR="00D50F20" w:rsidRPr="00D2042E" w:rsidRDefault="00126A65">
      <w:pPr>
        <w:pStyle w:val="paragraph"/>
        <w:numPr>
          <w:ilvl w:val="0"/>
          <w:numId w:val="18"/>
        </w:numPr>
        <w:jc w:val="both"/>
        <w:textAlignment w:val="baseline"/>
        <w:rPr>
          <w:rFonts w:ascii="Calibri" w:hAnsi="Calibri" w:cs="Calibri"/>
          <w:kern w:val="2"/>
          <w14:ligatures w14:val="standardContextual"/>
        </w:rPr>
      </w:pPr>
      <w:r w:rsidRPr="00D2042E">
        <w:rPr>
          <w:rFonts w:ascii="Calibri" w:hAnsi="Calibri" w:cs="Calibri"/>
          <w:sz w:val="22"/>
          <w:szCs w:val="22"/>
        </w:rPr>
        <w:t>Spodbujati uporabo varne elektronske identifikacije, avtentikacije in večfaktorske avtentikacije v javnem in zasebnem sektorju ter med prebivalci.</w:t>
      </w:r>
      <w:r w:rsidRPr="00D2042E">
        <w:rPr>
          <w:rFonts w:ascii="Calibri" w:hAnsi="Calibri" w:cs="Calibri"/>
        </w:rPr>
        <w:t> </w:t>
      </w:r>
    </w:p>
    <w:p w14:paraId="33A5D16C" w14:textId="2737DA6A" w:rsidR="00D50F20" w:rsidRPr="00D2042E" w:rsidRDefault="00126A65">
      <w:pPr>
        <w:pStyle w:val="paragraph"/>
        <w:numPr>
          <w:ilvl w:val="0"/>
          <w:numId w:val="19"/>
        </w:numPr>
        <w:jc w:val="both"/>
        <w:textAlignment w:val="baseline"/>
        <w:rPr>
          <w:rFonts w:ascii="Calibri" w:hAnsi="Calibri" w:cs="Calibri"/>
          <w:kern w:val="2"/>
          <w14:ligatures w14:val="standardContextual"/>
        </w:rPr>
      </w:pPr>
      <w:r w:rsidRPr="00D2042E">
        <w:rPr>
          <w:rFonts w:ascii="Calibri" w:hAnsi="Calibri" w:cs="Calibri"/>
          <w:sz w:val="22"/>
          <w:szCs w:val="22"/>
        </w:rPr>
        <w:t>Krepiti odpornost sistemov digitalne identitete in storitev zaupanja, vključno z neprekinjenim poslovanjem ter zaščito pred zlorabami in tveganji umetne inteligence.</w:t>
      </w:r>
      <w:r w:rsidRPr="00D2042E">
        <w:rPr>
          <w:rFonts w:ascii="Calibri" w:hAnsi="Calibri" w:cs="Calibri"/>
        </w:rPr>
        <w:t> </w:t>
      </w:r>
    </w:p>
    <w:p w14:paraId="08A77E7A" w14:textId="77777777" w:rsidR="00D50F20" w:rsidRPr="00D2042E" w:rsidRDefault="00126A65">
      <w:pPr>
        <w:pStyle w:val="paragraph"/>
        <w:numPr>
          <w:ilvl w:val="0"/>
          <w:numId w:val="20"/>
        </w:numPr>
        <w:jc w:val="both"/>
        <w:textAlignment w:val="baseline"/>
        <w:rPr>
          <w:rFonts w:ascii="Calibri" w:hAnsi="Calibri" w:cs="Calibri"/>
          <w:kern w:val="2"/>
          <w14:ligatures w14:val="standardContextual"/>
        </w:rPr>
      </w:pPr>
      <w:r w:rsidRPr="00D2042E">
        <w:rPr>
          <w:rFonts w:ascii="Calibri" w:hAnsi="Calibri" w:cs="Calibri"/>
          <w:sz w:val="22"/>
          <w:szCs w:val="22"/>
        </w:rPr>
        <w:t>Izvajati evropske in nacionalne pobude na področju digitalne identitete, zlasti uvedbo evropske denarnice za digitalno identiteto.</w:t>
      </w:r>
      <w:r w:rsidRPr="00D2042E">
        <w:rPr>
          <w:rFonts w:ascii="Calibri" w:hAnsi="Calibri" w:cs="Calibri"/>
        </w:rPr>
        <w:t> </w:t>
      </w:r>
    </w:p>
    <w:p w14:paraId="434F4820" w14:textId="77777777" w:rsidR="00D50F20" w:rsidRPr="00D2042E" w:rsidRDefault="00126A65">
      <w:pPr>
        <w:pStyle w:val="paragraph"/>
        <w:numPr>
          <w:ilvl w:val="0"/>
          <w:numId w:val="21"/>
        </w:numPr>
        <w:jc w:val="both"/>
        <w:textAlignment w:val="baseline"/>
        <w:rPr>
          <w:rFonts w:ascii="Calibri" w:hAnsi="Calibri" w:cs="Calibri"/>
          <w:kern w:val="2"/>
          <w14:ligatures w14:val="standardContextual"/>
        </w:rPr>
      </w:pPr>
      <w:r w:rsidRPr="00D2042E">
        <w:rPr>
          <w:rFonts w:ascii="Calibri" w:hAnsi="Calibri" w:cs="Calibri"/>
          <w:sz w:val="22"/>
          <w:szCs w:val="22"/>
        </w:rPr>
        <w:t>Povečevati zaupanje uporabnikov v digitalne javne storitve z enotnim upravljavskim okvirom varnostnih zahtev za digitalne storitve v javni upravi.</w:t>
      </w:r>
      <w:r w:rsidRPr="00D2042E">
        <w:rPr>
          <w:rFonts w:ascii="Calibri" w:hAnsi="Calibri" w:cs="Calibri"/>
        </w:rPr>
        <w:t> </w:t>
      </w:r>
    </w:p>
    <w:p w14:paraId="6860E516" w14:textId="4DFD4422" w:rsidR="00D50F20" w:rsidRPr="00D2042E" w:rsidRDefault="00126A65">
      <w:pPr>
        <w:pStyle w:val="Naslov2"/>
        <w:rPr>
          <w:color w:val="auto"/>
          <w:kern w:val="2"/>
          <w14:ligatures w14:val="standardContextual"/>
        </w:rPr>
      </w:pPr>
      <w:bookmarkStart w:id="175" w:name="_Toc241499680"/>
      <w:bookmarkStart w:id="176" w:name="_Toc241499933"/>
      <w:bookmarkStart w:id="177" w:name="_Toc241500217"/>
      <w:bookmarkStart w:id="178" w:name="_Toc242102262"/>
      <w:bookmarkStart w:id="179" w:name="_Toc242102356"/>
      <w:bookmarkStart w:id="180" w:name="_Toc242128631"/>
      <w:bookmarkStart w:id="181" w:name="_Toc242128725"/>
      <w:bookmarkStart w:id="182" w:name="_Toc242364375"/>
      <w:bookmarkStart w:id="183" w:name="_Toc242799376"/>
      <w:bookmarkEnd w:id="175"/>
      <w:bookmarkEnd w:id="176"/>
      <w:r w:rsidRPr="00D2042E">
        <w:rPr>
          <w:color w:val="auto"/>
        </w:rPr>
        <w:t>Kibernetska odpornost proizvodov in storitev z digitalnimi elementi</w:t>
      </w:r>
      <w:bookmarkEnd w:id="177"/>
      <w:bookmarkEnd w:id="178"/>
      <w:bookmarkEnd w:id="179"/>
      <w:bookmarkEnd w:id="180"/>
      <w:bookmarkEnd w:id="181"/>
      <w:bookmarkEnd w:id="182"/>
      <w:bookmarkEnd w:id="183"/>
    </w:p>
    <w:p w14:paraId="015E82EA" w14:textId="06B2A713" w:rsidR="00D50F20" w:rsidRPr="00D2042E" w:rsidRDefault="00126A65">
      <w:pPr>
        <w:spacing w:after="140" w:line="300" w:lineRule="auto"/>
        <w:jc w:val="both"/>
      </w:pPr>
      <w:r w:rsidRPr="00D2042E">
        <w:t xml:space="preserve">To podpoglavje obravnava potrebo po sistematični krepitvi kibernetske odpornosti proizvodov in storitev z digitalnimi elementi, ki se uporabljajo v gospodarstvu, javnem sektorju in vsakdanjem življenju. S tem dopolnjuje ukrepe za ocenjevanje zrelosti, izvajanje vaj ter varnostne presoje in certificiranje. Izhodišče je Akt o kibernetski odpornosti, ki določa horizontalne </w:t>
      </w:r>
      <w:proofErr w:type="spellStart"/>
      <w:r w:rsidRPr="00D2042E">
        <w:t>kibernetskovarnostne</w:t>
      </w:r>
      <w:proofErr w:type="spellEnd"/>
      <w:r w:rsidRPr="00D2042E">
        <w:t xml:space="preserve"> zahteve za proizvode z digitalnimi elementi na trgu Evropske unije.</w:t>
      </w:r>
    </w:p>
    <w:p w14:paraId="504177D9" w14:textId="54D1166E" w:rsidR="00D50F20" w:rsidRPr="00D2042E" w:rsidRDefault="00126A65">
      <w:pPr>
        <w:spacing w:after="140" w:line="300" w:lineRule="auto"/>
        <w:jc w:val="both"/>
      </w:pPr>
      <w:r w:rsidRPr="00D2042E">
        <w:t>Akt o kibernetski odpornosti ureja proizvode z digitalnimi elementi v okviru svojega področja uporabe; njegove zahteve se ne razširjajo samodejno na vse digitalne storitve. Certificiranje po Aktu o kibernetski varnosti in ugotavljanje skladnosti po Aktu o kibernetski odpornosti se obravnavata ločeno. Pri izvajanju se upošteva postopna uporaba Uredbe (EU) 2024/2847: določbe o priglasitvi organov za ugotavljanje skladnosti od 11. junija 2026, obveznosti poročanja iz 14. člena od 11. septembra 2026 in splošna uporaba od 11. decembra 2027.</w:t>
      </w:r>
    </w:p>
    <w:p w14:paraId="6F9337CA" w14:textId="77777777" w:rsidR="00D50F20" w:rsidRPr="00D2042E" w:rsidRDefault="00126A65">
      <w:pPr>
        <w:pStyle w:val="Naslov3"/>
      </w:pPr>
      <w:bookmarkStart w:id="184" w:name="_Toc242102263"/>
      <w:bookmarkStart w:id="185" w:name="_Toc242102357"/>
      <w:bookmarkStart w:id="186" w:name="_Toc242128632"/>
      <w:bookmarkStart w:id="187" w:name="_Toc242128726"/>
      <w:bookmarkStart w:id="188" w:name="_Toc242364376"/>
      <w:bookmarkStart w:id="189" w:name="_Toc242799377"/>
      <w:r w:rsidRPr="00D2042E">
        <w:rPr>
          <w:sz w:val="24"/>
          <w:szCs w:val="24"/>
        </w:rPr>
        <w:t>Strateške usmeritve</w:t>
      </w:r>
      <w:bookmarkEnd w:id="184"/>
      <w:bookmarkEnd w:id="185"/>
      <w:bookmarkEnd w:id="186"/>
      <w:bookmarkEnd w:id="187"/>
      <w:bookmarkEnd w:id="188"/>
      <w:bookmarkEnd w:id="189"/>
    </w:p>
    <w:p w14:paraId="3714FE0D" w14:textId="74F85FAE" w:rsidR="00D50F20" w:rsidRPr="00D2042E" w:rsidRDefault="00126A65">
      <w:pPr>
        <w:pStyle w:val="Odstavekseznama"/>
        <w:numPr>
          <w:ilvl w:val="0"/>
          <w:numId w:val="3"/>
        </w:numPr>
        <w:spacing w:after="70" w:line="280" w:lineRule="auto"/>
        <w:jc w:val="both"/>
      </w:pPr>
      <w:r w:rsidRPr="00D2042E">
        <w:t xml:space="preserve">Spodbujati načelo varnosti že v zasnovi in privzete varnosti pri razvoju, nabavi, uporabi in vzdrževanju proizvodov ter storitev z digitalnimi elementi. </w:t>
      </w:r>
    </w:p>
    <w:p w14:paraId="3B631A81" w14:textId="1CCBA5F6" w:rsidR="00D50F20" w:rsidRPr="00D2042E" w:rsidRDefault="00126A65">
      <w:pPr>
        <w:pStyle w:val="Odstavekseznama"/>
        <w:numPr>
          <w:ilvl w:val="0"/>
          <w:numId w:val="3"/>
        </w:numPr>
        <w:spacing w:after="70" w:line="280" w:lineRule="auto"/>
        <w:jc w:val="both"/>
      </w:pPr>
      <w:r w:rsidRPr="00D2042E">
        <w:t xml:space="preserve">Krepiti odgovornost proizvajalcev, ponudnikov, uvoznikov, distributerjev in uporabnikov za kibernetsko odpornost digitalnih proizvodov in storitev. </w:t>
      </w:r>
    </w:p>
    <w:p w14:paraId="6CD378E2" w14:textId="7C59CFF7" w:rsidR="00D50F20" w:rsidRPr="00D2042E" w:rsidRDefault="00126A65">
      <w:pPr>
        <w:pStyle w:val="Odstavekseznama"/>
        <w:numPr>
          <w:ilvl w:val="0"/>
          <w:numId w:val="3"/>
        </w:numPr>
        <w:spacing w:after="70" w:line="280" w:lineRule="auto"/>
        <w:jc w:val="both"/>
      </w:pPr>
      <w:r w:rsidRPr="00D2042E">
        <w:t>Spodbujati varnostne zahteve, testiranje, obvladovanje ranljivosti in varne posodobitve ter uporabo relevantnih evropskih in mednarodnih standardov, ustreznih postopkov ugotavljanja skladnosti ter po potrebi evropskih certifikacijskih shem za kibernetsko varnost.</w:t>
      </w:r>
    </w:p>
    <w:p w14:paraId="508F9D35" w14:textId="4C7E39BB" w:rsidR="00D50F20" w:rsidRPr="00D2042E" w:rsidRDefault="00126A65">
      <w:pPr>
        <w:pStyle w:val="Odstavekseznama"/>
        <w:numPr>
          <w:ilvl w:val="0"/>
          <w:numId w:val="3"/>
        </w:numPr>
        <w:spacing w:after="70" w:line="280" w:lineRule="auto"/>
        <w:jc w:val="both"/>
      </w:pPr>
      <w:r w:rsidRPr="00D2042E">
        <w:t>Krepiti odpornost digitalnih dobavnih verig ter izmenjavo informacij o ranljivostih, tveganjih in incidentih med pristojnimi organi, gospodarstvom, raziskovalno skupnostjo in drugimi deležniki.</w:t>
      </w:r>
    </w:p>
    <w:p w14:paraId="5E5ECACD" w14:textId="40D74806" w:rsidR="00D50F20" w:rsidRPr="00D2042E" w:rsidRDefault="00126A65">
      <w:pPr>
        <w:pStyle w:val="Odstavekseznama"/>
        <w:numPr>
          <w:ilvl w:val="0"/>
          <w:numId w:val="3"/>
        </w:numPr>
        <w:spacing w:after="70" w:line="280" w:lineRule="auto"/>
        <w:jc w:val="both"/>
      </w:pPr>
      <w:r w:rsidRPr="00D2042E">
        <w:lastRenderedPageBreak/>
        <w:t>Pri upravljanju dobavnih verig se obravnavajo tudi koncentracija pri posameznih ponudnikih, podizvajalci, storitve v oblaku in odvisnost od zunanjih upravljavcev. V nabavnih in pogodbenih zahtevah se glede na tveganje določijo varnostna podpora v celotnem življenjskem ciklu, obveščanje o ranljivostih in incidentih, preverljivost izpolnjevanja zahtev ter pogoji za prenos podatkov in zamenjavo ponudnika. Načrtuje se pravočasna zamenjava nepodprtih sistemov. Za izvajanje pravil o odpornosti proizvodov se zagotovijo jasna razmejitev pristojnosti ter usklajene zmogljivosti za nadzor trga, ugotavljanje skladnosti in podporo gospodarskim subjektom.</w:t>
      </w:r>
    </w:p>
    <w:p w14:paraId="482BE92B" w14:textId="77777777" w:rsidR="00D50F20" w:rsidRPr="00D2042E" w:rsidRDefault="00126A65">
      <w:pPr>
        <w:pStyle w:val="Naslov2"/>
        <w:rPr>
          <w:color w:val="auto"/>
        </w:rPr>
      </w:pPr>
      <w:bookmarkStart w:id="190" w:name="_Toc241499681"/>
      <w:bookmarkStart w:id="191" w:name="_Toc241499934"/>
      <w:bookmarkStart w:id="192" w:name="_Toc241500218"/>
      <w:bookmarkStart w:id="193" w:name="_Toc242102264"/>
      <w:bookmarkStart w:id="194" w:name="_Toc242102358"/>
      <w:bookmarkStart w:id="195" w:name="_Toc242128633"/>
      <w:bookmarkStart w:id="196" w:name="_Toc242128727"/>
      <w:bookmarkStart w:id="197" w:name="_Toc242364377"/>
      <w:bookmarkStart w:id="198" w:name="_Toc242799378"/>
      <w:r w:rsidRPr="00D2042E">
        <w:rPr>
          <w:color w:val="auto"/>
        </w:rPr>
        <w:t>Odpornost gospodarstva ter mikro, malih in srednjih podjetij</w:t>
      </w:r>
      <w:bookmarkEnd w:id="190"/>
      <w:bookmarkEnd w:id="191"/>
      <w:bookmarkEnd w:id="192"/>
      <w:bookmarkEnd w:id="193"/>
      <w:bookmarkEnd w:id="194"/>
      <w:bookmarkEnd w:id="195"/>
      <w:bookmarkEnd w:id="196"/>
      <w:bookmarkEnd w:id="197"/>
      <w:bookmarkEnd w:id="198"/>
    </w:p>
    <w:p w14:paraId="352C007F" w14:textId="5A6DD9FE" w:rsidR="00D50F20" w:rsidRPr="00D2042E" w:rsidRDefault="00126A65">
      <w:pPr>
        <w:pStyle w:val="Navaden2"/>
        <w:spacing w:line="300" w:lineRule="atLeast"/>
        <w:jc w:val="both"/>
      </w:pPr>
      <w:r w:rsidRPr="00D2042E">
        <w:t xml:space="preserve">Gospodarstvo, zlasti mikro, mala in srednja podjetja, ima pomembno vlogo pri krepitvi nacionalne odpornosti v kibernetskem prostoru. Republika Slovenija bo spodbujala razvoj znanj in kompetenc, uporabo ustreznih ukrepov za obvladovanje tveganj, sodelovanje med deležniki ter odpornost dobavnih verig in varno uporabo novih digitalnih tehnologij, vključno s pravočasno pripravo na prehod na </w:t>
      </w:r>
      <w:proofErr w:type="spellStart"/>
      <w:r w:rsidRPr="00D2042E">
        <w:t>postkvantno</w:t>
      </w:r>
      <w:proofErr w:type="spellEnd"/>
      <w:r w:rsidRPr="00D2042E">
        <w:t xml:space="preserve"> kriptografijo. Za manjša podjetja bo ta prehod izvedljiv predvsem prek ponudnikov in dobaviteljev IKT, zato bo podpora usmerjena v razumljive smernice, ozaveščanje in zahteve pri nabavi, ne v gradnjo lastnih kriptografskih zmogljivosti.</w:t>
      </w:r>
    </w:p>
    <w:p w14:paraId="459DA767" w14:textId="77777777" w:rsidR="00D50F20" w:rsidRPr="00D2042E" w:rsidRDefault="00126A65">
      <w:pPr>
        <w:pStyle w:val="Naslov3"/>
      </w:pPr>
      <w:bookmarkStart w:id="199" w:name="_Toc242102265"/>
      <w:bookmarkStart w:id="200" w:name="_Toc242102359"/>
      <w:bookmarkStart w:id="201" w:name="_Toc242128634"/>
      <w:bookmarkStart w:id="202" w:name="_Toc242128728"/>
      <w:bookmarkStart w:id="203" w:name="_Toc242364378"/>
      <w:bookmarkStart w:id="204" w:name="_Toc242799379"/>
      <w:r w:rsidRPr="00D2042E">
        <w:rPr>
          <w:sz w:val="24"/>
          <w:szCs w:val="24"/>
        </w:rPr>
        <w:t>Strateške usmeritve</w:t>
      </w:r>
      <w:bookmarkEnd w:id="199"/>
      <w:bookmarkEnd w:id="200"/>
      <w:bookmarkEnd w:id="201"/>
      <w:bookmarkEnd w:id="202"/>
      <w:bookmarkEnd w:id="203"/>
      <w:bookmarkEnd w:id="204"/>
    </w:p>
    <w:p w14:paraId="2D0E73CD" w14:textId="6BC80866" w:rsidR="00D50F20" w:rsidRPr="00D2042E" w:rsidRDefault="00126A65">
      <w:pPr>
        <w:pStyle w:val="Odstavekseznama1"/>
        <w:numPr>
          <w:ilvl w:val="0"/>
          <w:numId w:val="5"/>
        </w:numPr>
      </w:pPr>
      <w:r w:rsidRPr="00D2042E">
        <w:t>Spodbujati razvoj odpornega, varnega in konkurenčnega digitalnega gospodarstva ter zagotavljati posebno podporo mikro, malim in srednjim podjetjem pri krepitvi njihove kibernetske odpornosti, razvoju kompetenc in prilagajanju novim tehnološkim in regulativnim zahtevam.</w:t>
      </w:r>
    </w:p>
    <w:p w14:paraId="610B2589" w14:textId="419D40DB" w:rsidR="00D50F20" w:rsidRPr="00D2042E" w:rsidRDefault="00126A65">
      <w:pPr>
        <w:pStyle w:val="Odstavekseznama1"/>
        <w:numPr>
          <w:ilvl w:val="0"/>
          <w:numId w:val="5"/>
        </w:numPr>
      </w:pPr>
      <w:r w:rsidRPr="00D2042E">
        <w:t>Spodbujati partnerstva med gospodarstvom, industrijo, raziskovalnimi organizacijami in javnim sektorjem za razvoj rešitev, prenos znanja in krepitev inovacij.</w:t>
      </w:r>
    </w:p>
    <w:p w14:paraId="1BD0B1BE" w14:textId="255D7423" w:rsidR="00D50F20" w:rsidRPr="00D2042E" w:rsidRDefault="00126A65">
      <w:pPr>
        <w:pStyle w:val="Odstavekseznama1"/>
        <w:numPr>
          <w:ilvl w:val="0"/>
          <w:numId w:val="5"/>
        </w:numPr>
      </w:pPr>
      <w:r w:rsidRPr="00D2042E">
        <w:t xml:space="preserve">Podpirati gospodarstvo, zlasti mikro, mala in srednja podjetja, pri pripravi na prehod na </w:t>
      </w:r>
      <w:proofErr w:type="spellStart"/>
      <w:r w:rsidRPr="00D2042E">
        <w:t>postkvantno</w:t>
      </w:r>
      <w:proofErr w:type="spellEnd"/>
      <w:r w:rsidRPr="00D2042E">
        <w:t xml:space="preserve"> kriptografijo z ozaveščanjem o tveganju zajemanja podatkov za poznejše dešifriranje, dostopnimi smernicami in spodbujanjem zahtev po kriptografski agilnosti v odnosih z dobavitelji.</w:t>
      </w:r>
    </w:p>
    <w:p w14:paraId="154D8F9D" w14:textId="4294E5EA" w:rsidR="00D50F20" w:rsidRPr="00D2042E" w:rsidRDefault="00126A65">
      <w:pPr>
        <w:pStyle w:val="Odstavekseznama1"/>
        <w:numPr>
          <w:ilvl w:val="0"/>
          <w:numId w:val="5"/>
        </w:numPr>
      </w:pPr>
      <w:r w:rsidRPr="00D2042E">
        <w:t xml:space="preserve">Podpora se prilagodi velikosti, dejavnosti in tveganjem podjetij, tudi kadar niso zavezanci po ZInfV-1. Prednost imajo dostopne osnovne varnostne rešitve, pomoč pri odpravljanju ugotovljenih vrzeli ter povezovanje raziskovalnih rezultatov s praktično uporabo v gospodarstvu. NCC-SI podpira vključevanje slovenskih deležnikov v nacionalne in evropske raziskovalne, razvojne in inovacijske pobude ter spodbuja prenos, pilotiranje in uvajanje uspešnih </w:t>
      </w:r>
      <w:proofErr w:type="spellStart"/>
      <w:r w:rsidRPr="00D2042E">
        <w:t>kibernetskovarnostnih</w:t>
      </w:r>
      <w:proofErr w:type="spellEnd"/>
      <w:r w:rsidRPr="00D2042E">
        <w:t xml:space="preserve"> rešitev v gospodarstvu in javnem sektorju. Mikro</w:t>
      </w:r>
      <w:proofErr w:type="gramStart"/>
      <w:r w:rsidRPr="00D2042E">
        <w:t>,</w:t>
      </w:r>
      <w:proofErr w:type="gramEnd"/>
      <w:r w:rsidRPr="00D2042E">
        <w:t xml:space="preserve"> malim in srednjim podjetjem ter zagonskim podjetjem omogoča povezovanje z raziskovalno-razvojnim okoljem, dostop do strokovnih kompetenc in možnosti financiranja ter vključevanje v evropski </w:t>
      </w:r>
      <w:proofErr w:type="spellStart"/>
      <w:r w:rsidRPr="00D2042E">
        <w:t>kibernetskovarnostni</w:t>
      </w:r>
      <w:proofErr w:type="spellEnd"/>
      <w:r w:rsidRPr="00D2042E">
        <w:t xml:space="preserve"> ekosistem.</w:t>
      </w:r>
    </w:p>
    <w:p w14:paraId="2EB3B0BB" w14:textId="77777777" w:rsidR="00D50F20" w:rsidRPr="00D2042E" w:rsidRDefault="00126A65">
      <w:pPr>
        <w:pStyle w:val="Odstavekseznama1"/>
        <w:numPr>
          <w:ilvl w:val="0"/>
          <w:numId w:val="5"/>
        </w:numPr>
        <w:jc w:val="left"/>
      </w:pPr>
      <w:r w:rsidRPr="00D2042E">
        <w:t>Podpirati akademske in raziskovalne institucije pri razvoju in izboljševanju orodij kibernetske varnosti in varne omrežne infrastrukture ter spodbujati njihovo uvajanje.</w:t>
      </w:r>
    </w:p>
    <w:p w14:paraId="410BA3DB" w14:textId="77777777" w:rsidR="00D50F20" w:rsidRPr="00D2042E" w:rsidRDefault="00D50F20">
      <w:pPr>
        <w:pStyle w:val="Odstavekseznama1"/>
        <w:ind w:left="720"/>
      </w:pPr>
    </w:p>
    <w:p w14:paraId="04DB8A6C" w14:textId="68796CBD" w:rsidR="00D50F20" w:rsidRPr="00D2042E" w:rsidRDefault="00126A65">
      <w:pPr>
        <w:pStyle w:val="Odstavekseznama1"/>
      </w:pPr>
      <w:r w:rsidRPr="00D2042E">
        <w:br w:type="page"/>
      </w:r>
    </w:p>
    <w:p w14:paraId="7559FE0A" w14:textId="77777777" w:rsidR="00D50F20" w:rsidRPr="00D2042E" w:rsidRDefault="00126A65">
      <w:pPr>
        <w:pStyle w:val="Naslov1"/>
        <w:rPr>
          <w:color w:val="auto"/>
        </w:rPr>
      </w:pPr>
      <w:bookmarkStart w:id="205" w:name="_Toc241499682"/>
      <w:bookmarkStart w:id="206" w:name="_Toc241499935"/>
      <w:bookmarkStart w:id="207" w:name="_Toc241500219"/>
      <w:bookmarkStart w:id="208" w:name="_Toc242102266"/>
      <w:bookmarkStart w:id="209" w:name="_Toc242102360"/>
      <w:bookmarkStart w:id="210" w:name="_Toc242128635"/>
      <w:bookmarkStart w:id="211" w:name="_Toc242128729"/>
      <w:bookmarkStart w:id="212" w:name="_Toc242364379"/>
      <w:bookmarkStart w:id="213" w:name="_Toc242799380"/>
      <w:r w:rsidRPr="00D2042E">
        <w:rPr>
          <w:color w:val="auto"/>
        </w:rPr>
        <w:lastRenderedPageBreak/>
        <w:t>KREPITEV BOJA PROTI KIBERNETSKEMU KRIMINALU</w:t>
      </w:r>
      <w:bookmarkEnd w:id="205"/>
      <w:bookmarkEnd w:id="206"/>
      <w:bookmarkEnd w:id="207"/>
      <w:bookmarkEnd w:id="208"/>
      <w:bookmarkEnd w:id="209"/>
      <w:bookmarkEnd w:id="210"/>
      <w:bookmarkEnd w:id="211"/>
      <w:bookmarkEnd w:id="212"/>
      <w:bookmarkEnd w:id="213"/>
    </w:p>
    <w:p w14:paraId="600CB17F" w14:textId="21F4C028" w:rsidR="00D50F20" w:rsidRPr="00D2042E" w:rsidRDefault="00126A65">
      <w:pPr>
        <w:spacing w:line="300" w:lineRule="atLeast"/>
        <w:jc w:val="both"/>
        <w:rPr>
          <w:rFonts w:eastAsia="Times New Roman"/>
        </w:rPr>
      </w:pPr>
      <w:r w:rsidRPr="00D2042E">
        <w:rPr>
          <w:rFonts w:eastAsia="Times New Roman"/>
        </w:rPr>
        <w:t>Kibernetski kriminal predstavlja pomembno grožnjo nacionalni varnosti, ki zaradi hitrega tehnološkega razvoja, vse večje digitalizacije in izrazite čezmejne narave zahteva celovit in usklajen odziv države. Republika Slovenija bo zato krepila sodelovanje med pristojnimi državnimi organi, zasebnim sektorjem in mednarodnimi partnerji ter razvijala zmogljivosti za preprečevanje, odkrivanje in pregon kibernetskega kriminala.</w:t>
      </w:r>
    </w:p>
    <w:p w14:paraId="64C3A83F" w14:textId="3640AAD0" w:rsidR="00D50F20" w:rsidRPr="00D2042E" w:rsidRDefault="00126A65">
      <w:pPr>
        <w:spacing w:line="300" w:lineRule="atLeast"/>
        <w:jc w:val="both"/>
        <w:rPr>
          <w:rFonts w:eastAsia="Times New Roman"/>
        </w:rPr>
      </w:pPr>
      <w:r w:rsidRPr="00D2042E">
        <w:rPr>
          <w:rFonts w:eastAsia="Times New Roman"/>
        </w:rPr>
        <w:t>Želeno stanje do leta 2035: organi odkrivanja, preiskovanja in pregona razpolagajo z ustreznimi strokovnimi zmogljivostmi in usklajenimi postopki za obravnavo digitalnih dokazov. Čezmejno sodelovanje je učinkovitejše, žrtvam pa so na voljo razumljiva navodila za prijavo, ohranitev dokazov in dostop do pomoči.</w:t>
      </w:r>
    </w:p>
    <w:p w14:paraId="6833D5A4" w14:textId="77777777" w:rsidR="00D50F20" w:rsidRPr="00D2042E" w:rsidRDefault="00126A65">
      <w:pPr>
        <w:pStyle w:val="Naslov2"/>
        <w:rPr>
          <w:color w:val="auto"/>
        </w:rPr>
      </w:pPr>
      <w:bookmarkStart w:id="214" w:name="_Toc241499683"/>
      <w:bookmarkStart w:id="215" w:name="_Toc241499936"/>
      <w:bookmarkStart w:id="216" w:name="_Toc241500220"/>
      <w:bookmarkStart w:id="217" w:name="_Toc242102267"/>
      <w:bookmarkStart w:id="218" w:name="_Toc242102361"/>
      <w:bookmarkStart w:id="219" w:name="_Toc242128636"/>
      <w:bookmarkStart w:id="220" w:name="_Toc242128730"/>
      <w:bookmarkStart w:id="221" w:name="_Toc242364380"/>
      <w:bookmarkStart w:id="222" w:name="_Toc242799381"/>
      <w:r w:rsidRPr="00D2042E">
        <w:rPr>
          <w:color w:val="auto"/>
        </w:rPr>
        <w:t>Strateške usmeritve</w:t>
      </w:r>
      <w:bookmarkEnd w:id="214"/>
      <w:bookmarkEnd w:id="215"/>
      <w:bookmarkEnd w:id="216"/>
      <w:bookmarkEnd w:id="217"/>
      <w:bookmarkEnd w:id="218"/>
      <w:bookmarkEnd w:id="219"/>
      <w:bookmarkEnd w:id="220"/>
      <w:bookmarkEnd w:id="221"/>
      <w:bookmarkEnd w:id="222"/>
    </w:p>
    <w:p w14:paraId="536497A1" w14:textId="77777777" w:rsidR="00D50F20" w:rsidRPr="00D2042E" w:rsidRDefault="00126A65">
      <w:pPr>
        <w:pStyle w:val="Odstavekseznama1"/>
        <w:numPr>
          <w:ilvl w:val="0"/>
          <w:numId w:val="1"/>
        </w:numPr>
      </w:pPr>
      <w:r w:rsidRPr="00D2042E">
        <w:t>Krepiti sodelovanje med organi odkrivanja in pregona, državnim tožilstvom, skupinami CSIRT, regulatorji in drugimi pristojnimi deležniki pri preprečevanju, odkrivanju in pregonu kibernetskega kriminala.</w:t>
      </w:r>
    </w:p>
    <w:p w14:paraId="5519EBCE" w14:textId="7B6D6F99" w:rsidR="00D50F20" w:rsidRPr="00D2042E" w:rsidRDefault="00126A65">
      <w:pPr>
        <w:pStyle w:val="Odstavekseznama1"/>
        <w:numPr>
          <w:ilvl w:val="0"/>
          <w:numId w:val="1"/>
        </w:numPr>
      </w:pPr>
      <w:r w:rsidRPr="00D2042E">
        <w:t>Krepiti zmogljivosti za preiskovanje kibernetskega kriminala in digitalnih prevar ter za sledenje protipravno pridobljenemu digitalnemu premoženju in njegov zaseg.</w:t>
      </w:r>
    </w:p>
    <w:p w14:paraId="5E782263" w14:textId="77777777" w:rsidR="00D50F20" w:rsidRPr="00D2042E" w:rsidRDefault="00126A65">
      <w:pPr>
        <w:pStyle w:val="Odstavekseznama1"/>
        <w:numPr>
          <w:ilvl w:val="0"/>
          <w:numId w:val="1"/>
        </w:numPr>
      </w:pPr>
      <w:r w:rsidRPr="00D2042E">
        <w:t>Razvijati zmogljivosti za zaznavanje in obravnavo novih oblik kibernetskega kriminala ter krepiti sodelovanje z zasebnim sektorjem.</w:t>
      </w:r>
    </w:p>
    <w:p w14:paraId="41CC2707" w14:textId="77777777" w:rsidR="00D50F20" w:rsidRPr="00D2042E" w:rsidRDefault="00126A65">
      <w:pPr>
        <w:pStyle w:val="Odstavekseznama1"/>
        <w:numPr>
          <w:ilvl w:val="0"/>
          <w:numId w:val="1"/>
        </w:numPr>
      </w:pPr>
      <w:r w:rsidRPr="00D2042E">
        <w:t>Krepiti zaščito otrok in drugih ranljivih skupin pred spletnimi zlorabami in drugimi oblikami kibernetskega kriminala.</w:t>
      </w:r>
    </w:p>
    <w:p w14:paraId="50020312" w14:textId="77777777" w:rsidR="00D50F20" w:rsidRPr="00D2042E" w:rsidRDefault="00126A65">
      <w:pPr>
        <w:pStyle w:val="Odstavekseznama1"/>
        <w:numPr>
          <w:ilvl w:val="0"/>
          <w:numId w:val="1"/>
        </w:numPr>
      </w:pPr>
      <w:r w:rsidRPr="00D2042E">
        <w:t>Krepiti mednarodno sodelovanje pri preprečevanju, preiskovanju in pregonu kibernetskega kriminala.</w:t>
      </w:r>
    </w:p>
    <w:p w14:paraId="0919D759" w14:textId="584D910E" w:rsidR="00D50F20" w:rsidRPr="00D2042E" w:rsidRDefault="00126A65">
      <w:r w:rsidRPr="00D2042E">
        <w:br w:type="page"/>
      </w:r>
    </w:p>
    <w:p w14:paraId="50FD0997" w14:textId="77777777" w:rsidR="00D50F20" w:rsidRPr="00D2042E" w:rsidRDefault="00126A65">
      <w:pPr>
        <w:pStyle w:val="Naslov1"/>
        <w:rPr>
          <w:color w:val="auto"/>
        </w:rPr>
      </w:pPr>
      <w:bookmarkStart w:id="223" w:name="_Toc241499684"/>
      <w:bookmarkStart w:id="224" w:name="_Toc241499937"/>
      <w:bookmarkStart w:id="225" w:name="_Toc241500221"/>
      <w:bookmarkStart w:id="226" w:name="_Toc242102268"/>
      <w:bookmarkStart w:id="227" w:name="_Toc242102362"/>
      <w:bookmarkStart w:id="228" w:name="_Toc242128637"/>
      <w:bookmarkStart w:id="229" w:name="_Toc242128731"/>
      <w:bookmarkStart w:id="230" w:name="_Toc242364381"/>
      <w:bookmarkStart w:id="231" w:name="_Toc242799382"/>
      <w:r w:rsidRPr="00D2042E">
        <w:rPr>
          <w:color w:val="auto"/>
        </w:rPr>
        <w:lastRenderedPageBreak/>
        <w:t>KREPITEV TEHNOLOŠKE ODPORNOSTI IN OBVLADOVANJE PRIHODNJIH TEHNOLOGIJ</w:t>
      </w:r>
      <w:bookmarkEnd w:id="223"/>
      <w:bookmarkEnd w:id="224"/>
      <w:bookmarkEnd w:id="225"/>
      <w:bookmarkEnd w:id="226"/>
      <w:bookmarkEnd w:id="227"/>
      <w:bookmarkEnd w:id="228"/>
      <w:bookmarkEnd w:id="229"/>
      <w:bookmarkEnd w:id="230"/>
      <w:bookmarkEnd w:id="231"/>
    </w:p>
    <w:p w14:paraId="48452793" w14:textId="2DEA3E2C" w:rsidR="00D50F20" w:rsidRPr="00D2042E" w:rsidRDefault="00126A65">
      <w:pPr>
        <w:pStyle w:val="Navaden2"/>
        <w:spacing w:after="140" w:line="300" w:lineRule="auto"/>
        <w:jc w:val="both"/>
      </w:pPr>
      <w:bookmarkStart w:id="232" w:name="_Toc241499685"/>
      <w:bookmarkStart w:id="233" w:name="_Toc241499938"/>
      <w:bookmarkStart w:id="234" w:name="_Toc241500222"/>
      <w:r w:rsidRPr="00D2042E">
        <w:t xml:space="preserve">Med osrednjimi tehnološkimi prehodi, ki zaznamujejo obdobje izvajanja strategije, sta prehod na </w:t>
      </w:r>
      <w:proofErr w:type="spellStart"/>
      <w:r w:rsidRPr="00D2042E">
        <w:t>postkvantno</w:t>
      </w:r>
      <w:proofErr w:type="spellEnd"/>
      <w:r w:rsidRPr="00D2042E">
        <w:t xml:space="preserve"> kriptografijo in razvoj umetne inteligence. Prvi prehod zahteva zamenjavo kvantno ranljivih kriptografskih mehanizmov, zlasti za izmenjavo ključev in elektronsko podpisovanje ter ustrezno prilagoditev zaščite podatkov. Umetna inteligenca se lahko uporablja za izvajanje zlonamernih kibernetskih </w:t>
      </w:r>
      <w:proofErr w:type="gramStart"/>
      <w:r w:rsidRPr="00D2042E">
        <w:t>aktivnosti</w:t>
      </w:r>
      <w:proofErr w:type="gramEnd"/>
      <w:r w:rsidRPr="00D2042E">
        <w:t xml:space="preserve"> za obrambo pred njimi, hkrati pa ustvarja nove ranljivosti in tveganja. Oba prehoda presegata posamezno organizacijo in zahtevata usklajeno obravnavo, zato ju strategija obravnava kot samostojen strateški cilj. Strategija bo obenem sistematično spremljala razvoj drugih nastajajočih tehnologij ter pravočasno ocenjevala njihove učinke na nacionalno kibernetsko varnost in odpornost.</w:t>
      </w:r>
    </w:p>
    <w:p w14:paraId="1A1AACC8" w14:textId="72ECF98E" w:rsidR="00D50F20" w:rsidRPr="00D2042E" w:rsidRDefault="00126A65">
      <w:pPr>
        <w:pStyle w:val="Navaden2"/>
        <w:spacing w:after="140" w:line="300" w:lineRule="auto"/>
        <w:jc w:val="both"/>
      </w:pPr>
      <w:r w:rsidRPr="00D2042E">
        <w:t xml:space="preserve">Želeno stanje do leta 2035: prednostni sistemi so prešli na </w:t>
      </w:r>
      <w:proofErr w:type="spellStart"/>
      <w:r w:rsidRPr="00D2042E">
        <w:t>postkvantno</w:t>
      </w:r>
      <w:proofErr w:type="spellEnd"/>
      <w:r w:rsidRPr="00D2042E">
        <w:t xml:space="preserve"> odporno zaščito skladno z razvrstitvijo tveganj in evropskimi časovnimi mejniki. Pri varnostno pomembni uporabi umetne inteligence so tveganja preverljivo obvladovana skozi celoten življenjski cikel, z določenim človeškim nadzorom in varnimi nadomestnimi postopki.</w:t>
      </w:r>
    </w:p>
    <w:p w14:paraId="1BF345FC" w14:textId="77777777" w:rsidR="00D50F20" w:rsidRPr="00D2042E" w:rsidRDefault="00126A65">
      <w:pPr>
        <w:pStyle w:val="Naslov2"/>
        <w:rPr>
          <w:color w:val="auto"/>
          <w:kern w:val="2"/>
          <w14:ligatures w14:val="standardContextual"/>
        </w:rPr>
      </w:pPr>
      <w:bookmarkStart w:id="235" w:name="_Toc242102269"/>
      <w:bookmarkStart w:id="236" w:name="_Toc242102363"/>
      <w:bookmarkStart w:id="237" w:name="_Toc242128638"/>
      <w:bookmarkStart w:id="238" w:name="_Toc242128732"/>
      <w:bookmarkStart w:id="239" w:name="_Toc242364382"/>
      <w:bookmarkStart w:id="240" w:name="_Toc242799383"/>
      <w:bookmarkEnd w:id="232"/>
      <w:bookmarkEnd w:id="233"/>
      <w:bookmarkEnd w:id="234"/>
      <w:bookmarkEnd w:id="235"/>
      <w:r w:rsidRPr="00D2042E">
        <w:rPr>
          <w:color w:val="auto"/>
        </w:rPr>
        <w:t xml:space="preserve">Prehod na </w:t>
      </w:r>
      <w:proofErr w:type="spellStart"/>
      <w:r w:rsidRPr="00D2042E">
        <w:rPr>
          <w:color w:val="auto"/>
        </w:rPr>
        <w:t>postkvantno</w:t>
      </w:r>
      <w:proofErr w:type="spellEnd"/>
      <w:r w:rsidRPr="00D2042E">
        <w:rPr>
          <w:color w:val="auto"/>
        </w:rPr>
        <w:t xml:space="preserve"> kriptografijo</w:t>
      </w:r>
      <w:bookmarkEnd w:id="236"/>
      <w:bookmarkEnd w:id="237"/>
      <w:bookmarkEnd w:id="238"/>
      <w:bookmarkEnd w:id="239"/>
      <w:bookmarkEnd w:id="240"/>
    </w:p>
    <w:p w14:paraId="7220E80F" w14:textId="513514F2" w:rsidR="00D50F20" w:rsidRPr="00D2042E" w:rsidRDefault="00126A65">
      <w:pPr>
        <w:spacing w:line="300" w:lineRule="atLeast"/>
        <w:jc w:val="both"/>
        <w:rPr>
          <w:rFonts w:eastAsia="Times New Roman"/>
        </w:rPr>
      </w:pPr>
      <w:r w:rsidRPr="00D2042E">
        <w:rPr>
          <w:rFonts w:eastAsia="Times New Roman"/>
        </w:rPr>
        <w:t xml:space="preserve">Razvoj kvantnega računalništva zahteva pravočasen prehod na </w:t>
      </w:r>
      <w:proofErr w:type="spellStart"/>
      <w:r w:rsidRPr="00D2042E">
        <w:rPr>
          <w:rFonts w:eastAsia="Times New Roman"/>
        </w:rPr>
        <w:t>postkvantno</w:t>
      </w:r>
      <w:proofErr w:type="spellEnd"/>
      <w:r w:rsidRPr="00D2042E">
        <w:rPr>
          <w:rFonts w:eastAsia="Times New Roman"/>
        </w:rPr>
        <w:t xml:space="preserve"> kriptografijo, zlasti za zaščito podatkov, za katere je treba zaupnost zagotavljati dolgo obdobje. Strategija določa usmeritve za ta prehod v skladu z evropskim časovnim okvirom do leta 2035.</w:t>
      </w:r>
    </w:p>
    <w:p w14:paraId="20CCDAE2" w14:textId="77777777" w:rsidR="00D50F20" w:rsidRPr="00D2042E" w:rsidRDefault="00126A65">
      <w:pPr>
        <w:pStyle w:val="Naslov3"/>
      </w:pPr>
      <w:bookmarkStart w:id="241" w:name="_Toc242102270"/>
      <w:bookmarkStart w:id="242" w:name="_Toc242102364"/>
      <w:bookmarkStart w:id="243" w:name="_Toc242128639"/>
      <w:bookmarkStart w:id="244" w:name="_Toc242128733"/>
      <w:bookmarkStart w:id="245" w:name="_Toc242364383"/>
      <w:bookmarkStart w:id="246" w:name="_Toc242799384"/>
      <w:r w:rsidRPr="00D2042E">
        <w:rPr>
          <w:sz w:val="24"/>
          <w:szCs w:val="24"/>
        </w:rPr>
        <w:t>Strateške usmeritve</w:t>
      </w:r>
      <w:bookmarkEnd w:id="241"/>
      <w:bookmarkEnd w:id="242"/>
      <w:bookmarkEnd w:id="243"/>
      <w:bookmarkEnd w:id="244"/>
      <w:bookmarkEnd w:id="245"/>
      <w:bookmarkEnd w:id="246"/>
    </w:p>
    <w:p w14:paraId="494BB53D" w14:textId="77777777" w:rsidR="00D50F20" w:rsidRPr="00D2042E" w:rsidRDefault="00126A65">
      <w:pPr>
        <w:pStyle w:val="Odstavekseznama1"/>
        <w:numPr>
          <w:ilvl w:val="0"/>
          <w:numId w:val="9"/>
        </w:numPr>
      </w:pPr>
      <w:r w:rsidRPr="00D2042E">
        <w:t xml:space="preserve">Zagotoviti pravočasen in usklajen prehod na </w:t>
      </w:r>
      <w:proofErr w:type="spellStart"/>
      <w:r w:rsidRPr="00D2042E">
        <w:t>postkvantno</w:t>
      </w:r>
      <w:proofErr w:type="spellEnd"/>
      <w:r w:rsidRPr="00D2042E">
        <w:t xml:space="preserve"> kriptografijo.</w:t>
      </w:r>
    </w:p>
    <w:p w14:paraId="7874B362" w14:textId="77777777" w:rsidR="00D50F20" w:rsidRPr="00D2042E" w:rsidRDefault="00126A65">
      <w:pPr>
        <w:pStyle w:val="Odstavekseznama1"/>
        <w:numPr>
          <w:ilvl w:val="0"/>
          <w:numId w:val="9"/>
        </w:numPr>
      </w:pPr>
      <w:r w:rsidRPr="00D2042E">
        <w:t xml:space="preserve">Opredeliti prednostne sisteme, podatke in storitve, pri katerih je potrebna </w:t>
      </w:r>
      <w:proofErr w:type="spellStart"/>
      <w:r w:rsidRPr="00D2042E">
        <w:t>postkvantno</w:t>
      </w:r>
      <w:proofErr w:type="spellEnd"/>
      <w:r w:rsidRPr="00D2042E">
        <w:t xml:space="preserve"> odporna zaščita.</w:t>
      </w:r>
    </w:p>
    <w:p w14:paraId="3012A8B8" w14:textId="7B6D4A64" w:rsidR="00D50F20" w:rsidRPr="00D2042E" w:rsidRDefault="00126A65">
      <w:pPr>
        <w:pStyle w:val="Odstavekseznama1"/>
        <w:numPr>
          <w:ilvl w:val="0"/>
          <w:numId w:val="9"/>
        </w:numPr>
      </w:pPr>
      <w:r w:rsidRPr="00D2042E">
        <w:t>Spodbujati kriptografsko agilnost pri razvoju, posodabljanju in nabavi informacijskih sistemov.</w:t>
      </w:r>
    </w:p>
    <w:p w14:paraId="56DF66E5" w14:textId="77777777" w:rsidR="00D50F20" w:rsidRPr="00D2042E" w:rsidRDefault="00126A65">
      <w:pPr>
        <w:pStyle w:val="Odstavekseznama1"/>
        <w:numPr>
          <w:ilvl w:val="0"/>
          <w:numId w:val="9"/>
        </w:numPr>
      </w:pPr>
      <w:r w:rsidRPr="00D2042E">
        <w:t>Razvijati nacionalne strokovne zmogljivosti na področju kriptografije.</w:t>
      </w:r>
    </w:p>
    <w:p w14:paraId="537B470B" w14:textId="65B8F878" w:rsidR="00D50F20" w:rsidRPr="00D2042E" w:rsidRDefault="00126A65">
      <w:pPr>
        <w:pStyle w:val="Odstavekseznama1"/>
        <w:numPr>
          <w:ilvl w:val="0"/>
          <w:numId w:val="9"/>
        </w:numPr>
      </w:pPr>
      <w:r w:rsidRPr="00D2042E">
        <w:t xml:space="preserve">Slediti evropskim in mednarodnim usmeritvam ter časovnim mejnikom na področju </w:t>
      </w:r>
      <w:proofErr w:type="spellStart"/>
      <w:r w:rsidRPr="00D2042E">
        <w:t>postkvantne</w:t>
      </w:r>
      <w:proofErr w:type="spellEnd"/>
      <w:r w:rsidRPr="00D2042E">
        <w:t xml:space="preserve"> kriptografije.</w:t>
      </w:r>
    </w:p>
    <w:p w14:paraId="4D8E21E5" w14:textId="77777777" w:rsidR="00D50F20" w:rsidRPr="00D2042E" w:rsidRDefault="00D50F20">
      <w:pPr>
        <w:jc w:val="both"/>
      </w:pPr>
    </w:p>
    <w:p w14:paraId="1D6166CA" w14:textId="77777777" w:rsidR="00C8144A" w:rsidRDefault="00C8144A">
      <w:pPr>
        <w:pStyle w:val="Navaden5"/>
        <w:spacing w:line="300" w:lineRule="atLeast"/>
        <w:jc w:val="both"/>
      </w:pPr>
      <w:bookmarkStart w:id="247" w:name="_Toc241500223"/>
      <w:bookmarkStart w:id="248" w:name="_Toc242102271"/>
      <w:bookmarkStart w:id="249" w:name="_Toc242102365"/>
      <w:bookmarkStart w:id="250" w:name="_Toc242128640"/>
      <w:bookmarkStart w:id="251" w:name="_Toc242128734"/>
      <w:bookmarkStart w:id="252" w:name="_Toc242364384"/>
      <w:r>
        <w:t xml:space="preserve">Nacionalni načrt prehoda vključuje popis kriptografskih sredstev in odvisnosti, razvrstitev sistemov po tveganju, zahteve za dobavitelje ter preizkušanje združljivosti in obnove delovanja. Pri časovnem načrtovanju se upošteva evropski časovni načrt, po katerem države članice do konca leta 2026 pripravijo nacionalne načrte in začnejo prehod, do konca leta 2030 zaključijo prehod v </w:t>
      </w:r>
      <w:proofErr w:type="gramStart"/>
      <w:r>
        <w:t>kritični infrastrukturi</w:t>
      </w:r>
      <w:proofErr w:type="gramEnd"/>
      <w:r>
        <w:t xml:space="preserve"> in pri drugih primerih uporabe z visokim tveganjem, do konca leta 2035 pa prehod vseh preostalih sistemov v čim večji meri. Poleg zaupnosti podatkov se obravnavajo elektronski podpisi, digitalna potrdila in dolgoročno preverjanje pristnosti. Gre za usmeritve evropskega časovnega načrta, ne za enoten zakonski rok za vse sisteme. Nacionalni načrt določi konkretne mejnike po tveganjih, odgovorne nosilce, vire, spremljanje napredka in obravnavo utemeljenih odstopanj. Priprava načrta in začetek prehoda v letu 2026 potekata neodvisno od sprejetja strategije za obdobje 2027–2035.</w:t>
      </w:r>
    </w:p>
    <w:bookmarkEnd w:id="247"/>
    <w:bookmarkEnd w:id="248"/>
    <w:bookmarkEnd w:id="249"/>
    <w:bookmarkEnd w:id="250"/>
    <w:bookmarkEnd w:id="251"/>
    <w:bookmarkEnd w:id="252"/>
    <w:p w14:paraId="7E1700FA" w14:textId="77777777" w:rsidR="00930729" w:rsidRDefault="00930729" w:rsidP="00930729">
      <w:pPr>
        <w:pStyle w:val="Naslov2"/>
        <w:rPr>
          <w:color w:val="auto"/>
        </w:rPr>
      </w:pPr>
    </w:p>
    <w:p w14:paraId="76246707" w14:textId="77777777" w:rsidR="00930729" w:rsidRDefault="00930729" w:rsidP="00930729">
      <w:pPr>
        <w:pStyle w:val="Naslov2"/>
        <w:rPr>
          <w:color w:val="auto"/>
        </w:rPr>
      </w:pPr>
    </w:p>
    <w:p w14:paraId="017CFAEF" w14:textId="538D7DEA" w:rsidR="00D50F20" w:rsidRPr="00D2042E" w:rsidRDefault="00126A65" w:rsidP="00930729">
      <w:pPr>
        <w:pStyle w:val="Naslov2"/>
        <w:rPr>
          <w:color w:val="auto"/>
        </w:rPr>
      </w:pPr>
      <w:bookmarkStart w:id="253" w:name="_Toc242799385"/>
      <w:r w:rsidRPr="00930729">
        <w:rPr>
          <w:color w:val="auto"/>
        </w:rPr>
        <w:lastRenderedPageBreak/>
        <w:t>Varna in suverena raba umetne inteligence</w:t>
      </w:r>
      <w:bookmarkEnd w:id="253"/>
    </w:p>
    <w:p w14:paraId="4077C5EC" w14:textId="77777777" w:rsidR="00D50F20" w:rsidRPr="00D2042E" w:rsidRDefault="00126A65">
      <w:pPr>
        <w:spacing w:line="300" w:lineRule="atLeast"/>
        <w:jc w:val="both"/>
        <w:rPr>
          <w:rFonts w:eastAsia="Times New Roman"/>
        </w:rPr>
      </w:pPr>
      <w:r w:rsidRPr="00D2042E">
        <w:rPr>
          <w:rFonts w:eastAsia="Times New Roman"/>
        </w:rPr>
        <w:t>Umetna inteligenca predstavlja pomembno priložnost za krepitev kibernetske varnosti, hkrati pa prinaša nova tveganja. Republika Slovenija bo spodbujala njeno varno, odgovorno in suvereno uporabo ter krepila zmogljivosti za obvladovanje povezanih tveganj.</w:t>
      </w:r>
    </w:p>
    <w:p w14:paraId="1B6C2FB3" w14:textId="77777777" w:rsidR="00D50F20" w:rsidRPr="00D2042E" w:rsidRDefault="00D50F20">
      <w:pPr>
        <w:spacing w:line="300" w:lineRule="atLeast"/>
        <w:jc w:val="both"/>
        <w:rPr>
          <w:rFonts w:eastAsia="Times New Roman"/>
        </w:rPr>
      </w:pPr>
    </w:p>
    <w:p w14:paraId="3EE3AAE1" w14:textId="3F041A27" w:rsidR="00D50F20" w:rsidRPr="00D2042E" w:rsidRDefault="00126A65">
      <w:pPr>
        <w:spacing w:line="300" w:lineRule="atLeast"/>
        <w:jc w:val="both"/>
        <w:rPr>
          <w:rFonts w:eastAsia="Times New Roman"/>
        </w:rPr>
      </w:pPr>
      <w:r w:rsidRPr="00D2042E">
        <w:rPr>
          <w:rFonts w:eastAsia="Times New Roman"/>
        </w:rPr>
        <w:t xml:space="preserve">Suverenost pri uporabi umetne inteligence pomeni predvsem zmožnost nadzora nad podatki, dostopi, ponudniki in delovanjem sistemov ter obvladovanje odvisnosti in možnost zamenjave rešitve. </w:t>
      </w:r>
      <w:proofErr w:type="spellStart"/>
      <w:r w:rsidRPr="00D2042E">
        <w:rPr>
          <w:rFonts w:eastAsia="Times New Roman"/>
        </w:rPr>
        <w:t>Kibernetskovarnostne</w:t>
      </w:r>
      <w:proofErr w:type="spellEnd"/>
      <w:r w:rsidRPr="00D2042E">
        <w:rPr>
          <w:rFonts w:eastAsia="Times New Roman"/>
        </w:rPr>
        <w:t xml:space="preserve"> zahteve se izvajajo usklajeno s pristojnimi organi za umetno inteligenco in veljavnimi predpisi; kibernetska strategija sama ne določa novih pristojnosti za splošni nadzor sistemov umetne inteligence.</w:t>
      </w:r>
    </w:p>
    <w:p w14:paraId="5EF2CD00" w14:textId="77777777" w:rsidR="00D50F20" w:rsidRPr="00D2042E" w:rsidRDefault="00126A65">
      <w:pPr>
        <w:pStyle w:val="Naslov3"/>
      </w:pPr>
      <w:bookmarkStart w:id="254" w:name="_Toc242102272"/>
      <w:bookmarkStart w:id="255" w:name="_Toc242102366"/>
      <w:bookmarkStart w:id="256" w:name="_Toc242128641"/>
      <w:bookmarkStart w:id="257" w:name="_Toc242128735"/>
      <w:bookmarkStart w:id="258" w:name="_Toc242364385"/>
      <w:bookmarkStart w:id="259" w:name="_Toc242799386"/>
      <w:r w:rsidRPr="00D2042E">
        <w:rPr>
          <w:sz w:val="24"/>
          <w:szCs w:val="24"/>
        </w:rPr>
        <w:t>Strateške usmeritve</w:t>
      </w:r>
      <w:bookmarkEnd w:id="254"/>
      <w:bookmarkEnd w:id="255"/>
      <w:bookmarkEnd w:id="256"/>
      <w:bookmarkEnd w:id="257"/>
      <w:bookmarkEnd w:id="258"/>
      <w:bookmarkEnd w:id="259"/>
    </w:p>
    <w:p w14:paraId="1E50E7F4" w14:textId="77777777" w:rsidR="00D50F20" w:rsidRPr="00D2042E" w:rsidRDefault="00126A65">
      <w:pPr>
        <w:pStyle w:val="Odstavekseznama1"/>
        <w:numPr>
          <w:ilvl w:val="0"/>
          <w:numId w:val="4"/>
        </w:numPr>
      </w:pPr>
      <w:r w:rsidRPr="00D2042E">
        <w:t>Vzpostaviti upravljanje uporabe umetne inteligence v državnih sistemih.</w:t>
      </w:r>
    </w:p>
    <w:p w14:paraId="20DF4C91" w14:textId="77777777" w:rsidR="00D50F20" w:rsidRPr="00D2042E" w:rsidRDefault="00126A65">
      <w:pPr>
        <w:pStyle w:val="Odstavekseznama1"/>
        <w:numPr>
          <w:ilvl w:val="0"/>
          <w:numId w:val="4"/>
        </w:numPr>
      </w:pPr>
      <w:r w:rsidRPr="00D2042E">
        <w:t>Zagotoviti varno, odgovorno in sledljivo uporabo umetne inteligence.</w:t>
      </w:r>
    </w:p>
    <w:p w14:paraId="318910BF" w14:textId="77777777" w:rsidR="00D50F20" w:rsidRPr="00D2042E" w:rsidRDefault="00126A65">
      <w:pPr>
        <w:pStyle w:val="Odstavekseznama1"/>
        <w:numPr>
          <w:ilvl w:val="0"/>
          <w:numId w:val="4"/>
        </w:numPr>
      </w:pPr>
      <w:r w:rsidRPr="00D2042E">
        <w:t>Pred uvedbo oceniti varnostna tveganja sistemov umetne inteligence.</w:t>
      </w:r>
    </w:p>
    <w:p w14:paraId="72544075" w14:textId="77777777" w:rsidR="00D50F20" w:rsidRPr="00D2042E" w:rsidRDefault="00126A65">
      <w:pPr>
        <w:pStyle w:val="Odstavekseznama1"/>
        <w:numPr>
          <w:ilvl w:val="0"/>
          <w:numId w:val="4"/>
        </w:numPr>
      </w:pPr>
      <w:r w:rsidRPr="00D2042E">
        <w:t>Spodbujati uporabo umetne inteligence za krepitev kibernetske varnosti.</w:t>
      </w:r>
    </w:p>
    <w:p w14:paraId="2539B6E0" w14:textId="77777777" w:rsidR="00D50F20" w:rsidRPr="00D2042E" w:rsidRDefault="00126A65">
      <w:pPr>
        <w:pStyle w:val="Odstavekseznama1"/>
        <w:numPr>
          <w:ilvl w:val="0"/>
          <w:numId w:val="4"/>
        </w:numPr>
      </w:pPr>
      <w:r w:rsidRPr="00D2042E">
        <w:t>Krepiti tehnološko odpornost ter znanja in kompetence za varno uporabo umetne inteligence.</w:t>
      </w:r>
    </w:p>
    <w:p w14:paraId="631192BF" w14:textId="77777777" w:rsidR="00D50F20" w:rsidRPr="00D2042E" w:rsidRDefault="00D50F20">
      <w:pPr>
        <w:spacing w:after="140" w:line="300" w:lineRule="auto"/>
        <w:jc w:val="both"/>
      </w:pPr>
    </w:p>
    <w:p w14:paraId="76164B4A" w14:textId="59851F60" w:rsidR="00D50F20" w:rsidRPr="00D2042E" w:rsidRDefault="00126A65">
      <w:pPr>
        <w:spacing w:after="140" w:line="300" w:lineRule="auto"/>
        <w:jc w:val="both"/>
      </w:pPr>
      <w:r w:rsidRPr="00D2042E">
        <w:t>Upravljanje tveganj umetne inteligence zajema celoten življenjski cikel sistemov, varovanje učnih in vhodnih podatkov, preverjanje ponudnikov in modelov ter preprečevanje razkrivanja varovanih podatkov in zlorab povezanih orodij. Za uporabo pri varnostno pomembnih odločitvah se določijo človeški nadzor, beleženje odločitev, omejitve pooblastil in možnost varne ustavitve oziroma prehoda na nadomestne postopke. Učinkovitost rešitev se preverja tudi ob zavajajočih ali zlonamernih vhodnih podatkih.</w:t>
      </w:r>
    </w:p>
    <w:p w14:paraId="08273D93" w14:textId="77777777" w:rsidR="00D50F20" w:rsidRPr="00D2042E" w:rsidRDefault="00126A65">
      <w:r w:rsidRPr="00D2042E">
        <w:br w:type="page"/>
      </w:r>
    </w:p>
    <w:p w14:paraId="6471E407" w14:textId="77777777" w:rsidR="00D50F20" w:rsidRPr="00D2042E" w:rsidRDefault="00126A65">
      <w:pPr>
        <w:pStyle w:val="Naslov1"/>
        <w:rPr>
          <w:color w:val="auto"/>
        </w:rPr>
      </w:pPr>
      <w:bookmarkStart w:id="260" w:name="_Toc241499687"/>
      <w:bookmarkStart w:id="261" w:name="_Toc241499940"/>
      <w:bookmarkStart w:id="262" w:name="_Toc241500224"/>
      <w:bookmarkStart w:id="263" w:name="_Toc242102273"/>
      <w:bookmarkStart w:id="264" w:name="_Toc242102367"/>
      <w:bookmarkStart w:id="265" w:name="_Toc242128642"/>
      <w:bookmarkStart w:id="266" w:name="_Toc242128736"/>
      <w:bookmarkStart w:id="267" w:name="_Toc242364386"/>
      <w:bookmarkStart w:id="268" w:name="_Toc242799387"/>
      <w:r w:rsidRPr="00D2042E">
        <w:rPr>
          <w:color w:val="auto"/>
        </w:rPr>
        <w:lastRenderedPageBreak/>
        <w:t>MEDNARODNO SODELOVANJE IN MEDSEBOJNA POMOČ</w:t>
      </w:r>
      <w:bookmarkEnd w:id="260"/>
      <w:bookmarkEnd w:id="261"/>
      <w:bookmarkEnd w:id="262"/>
      <w:bookmarkEnd w:id="263"/>
      <w:bookmarkEnd w:id="264"/>
      <w:bookmarkEnd w:id="265"/>
      <w:bookmarkEnd w:id="266"/>
      <w:bookmarkEnd w:id="267"/>
      <w:bookmarkEnd w:id="268"/>
    </w:p>
    <w:p w14:paraId="37F65999" w14:textId="77777777" w:rsidR="00D50F20" w:rsidRPr="00D2042E" w:rsidRDefault="00126A65">
      <w:pPr>
        <w:jc w:val="both"/>
      </w:pPr>
      <w:r w:rsidRPr="00D2042E">
        <w:rPr>
          <w:i/>
          <w:iCs/>
        </w:rPr>
        <w:t>Prečna vsebina, ki podpira uresničevanje vseh prednostnih nalog in strateških ciljev</w:t>
      </w:r>
      <w:r w:rsidRPr="00D2042E">
        <w:t> </w:t>
      </w:r>
    </w:p>
    <w:p w14:paraId="2964A399" w14:textId="77777777" w:rsidR="00D50F20" w:rsidRPr="00D2042E" w:rsidRDefault="00D50F20">
      <w:pPr>
        <w:jc w:val="both"/>
      </w:pPr>
    </w:p>
    <w:p w14:paraId="06F7A891" w14:textId="66E6D58A" w:rsidR="00D50F20" w:rsidRPr="00D2042E" w:rsidRDefault="00126A65">
      <w:pPr>
        <w:pStyle w:val="Navaden4"/>
        <w:spacing w:line="300" w:lineRule="auto"/>
        <w:jc w:val="both"/>
      </w:pPr>
      <w:r w:rsidRPr="00D2042E">
        <w:t>Republika Slovenija krepi svojo kibernetsko varnost tudi z dejavnim sodelovanjem v Evropski uniji in zavezništvu NATO ter drugih mednarodnih in regionalnih okvirih. Pri tem sodeluje pri oblikovanju politik, pravil in skupnih odzivov, izmenjuje informacije in strokovno znanje ter razvija zmogljivosti za čezmejno sodelovanje ob pomembnih incidentih in krizah. Mednarodno sodelovanje tako prispeva k nacionalni odpornosti in k varnosti širšega okolja, katerega del je tudi Slovenija. </w:t>
      </w:r>
    </w:p>
    <w:p w14:paraId="16021AE3" w14:textId="77777777" w:rsidR="00D50F20" w:rsidRPr="00D2042E" w:rsidRDefault="00D50F20">
      <w:pPr>
        <w:jc w:val="both"/>
      </w:pPr>
    </w:p>
    <w:p w14:paraId="513332B5" w14:textId="77777777" w:rsidR="00D50F20" w:rsidRPr="00D2042E" w:rsidRDefault="00126A65">
      <w:pPr>
        <w:pStyle w:val="Naslov2"/>
        <w:spacing w:line="300" w:lineRule="auto"/>
        <w:rPr>
          <w:color w:val="auto"/>
        </w:rPr>
      </w:pPr>
      <w:bookmarkStart w:id="269" w:name="_Toc242102274"/>
      <w:bookmarkStart w:id="270" w:name="_Toc242102368"/>
      <w:bookmarkStart w:id="271" w:name="_Toc242128643"/>
      <w:bookmarkStart w:id="272" w:name="_Toc242128737"/>
      <w:bookmarkStart w:id="273" w:name="_Toc242364387"/>
      <w:bookmarkStart w:id="274" w:name="_Toc242799388"/>
      <w:r w:rsidRPr="00D2042E">
        <w:rPr>
          <w:color w:val="auto"/>
        </w:rPr>
        <w:t>Strateške usmeritve</w:t>
      </w:r>
      <w:bookmarkEnd w:id="269"/>
      <w:bookmarkEnd w:id="270"/>
      <w:bookmarkEnd w:id="271"/>
      <w:bookmarkEnd w:id="272"/>
      <w:bookmarkEnd w:id="273"/>
      <w:bookmarkEnd w:id="274"/>
    </w:p>
    <w:p w14:paraId="44B9608C" w14:textId="77777777" w:rsidR="00D50F20" w:rsidRPr="00D2042E" w:rsidRDefault="00126A65">
      <w:pPr>
        <w:pStyle w:val="Odstavekseznama1"/>
        <w:numPr>
          <w:ilvl w:val="0"/>
          <w:numId w:val="10"/>
        </w:numPr>
        <w:rPr>
          <w:sz w:val="24"/>
          <w:szCs w:val="24"/>
        </w:rPr>
      </w:pPr>
      <w:r w:rsidRPr="00D2042E">
        <w:t>Dejavno sodelovati pri oblikovanju evropskih in mednarodnih politik, pravil, standardov in ukrepov na področju kibernetske varnosti ter pri njihovem izvajanju. </w:t>
      </w:r>
    </w:p>
    <w:p w14:paraId="44581A28" w14:textId="27D46073" w:rsidR="00D50F20" w:rsidRPr="00D2042E" w:rsidRDefault="00126A65">
      <w:pPr>
        <w:pStyle w:val="Odstavekseznama1"/>
        <w:numPr>
          <w:ilvl w:val="0"/>
          <w:numId w:val="10"/>
        </w:numPr>
        <w:rPr>
          <w:sz w:val="24"/>
          <w:szCs w:val="24"/>
        </w:rPr>
      </w:pPr>
      <w:r w:rsidRPr="00D2042E">
        <w:t xml:space="preserve">Krepiti vključevanje Republike Slovenije v evropski </w:t>
      </w:r>
      <w:proofErr w:type="spellStart"/>
      <w:r w:rsidRPr="00D2042E">
        <w:t>kibernetskovarnostni</w:t>
      </w:r>
      <w:proofErr w:type="spellEnd"/>
      <w:r w:rsidRPr="00D2042E">
        <w:t xml:space="preserve"> kompetenčni ekosistem Evropskega kompetenčnega </w:t>
      </w:r>
      <w:proofErr w:type="gramStart"/>
      <w:r w:rsidRPr="00D2042E">
        <w:t>centra</w:t>
      </w:r>
      <w:proofErr w:type="gramEnd"/>
      <w:r w:rsidRPr="00D2042E">
        <w:t xml:space="preserve"> za kibernetsko varnost (ECCC) in evropske mreže nacionalnih koordinacijskih centrov ter spodbujati vključevanje slovenskih deležnikov v evropske pobude, partnerstva in projekte.</w:t>
      </w:r>
    </w:p>
    <w:p w14:paraId="159449DA" w14:textId="77777777" w:rsidR="00D50F20" w:rsidRPr="00D2042E" w:rsidRDefault="00126A65">
      <w:pPr>
        <w:pStyle w:val="Odstavekseznama1"/>
        <w:numPr>
          <w:ilvl w:val="0"/>
          <w:numId w:val="11"/>
        </w:numPr>
        <w:rPr>
          <w:sz w:val="24"/>
          <w:szCs w:val="24"/>
        </w:rPr>
      </w:pPr>
      <w:r w:rsidRPr="00D2042E">
        <w:t>Izpolnjevati zaveze v okviru Evropske unije in zavezništev ter prispevati k skupni kibernetski odpornosti. </w:t>
      </w:r>
    </w:p>
    <w:p w14:paraId="2F0E0329" w14:textId="77777777" w:rsidR="00D50F20" w:rsidRPr="00D2042E" w:rsidRDefault="00126A65">
      <w:pPr>
        <w:pStyle w:val="Odstavekseznama1"/>
        <w:numPr>
          <w:ilvl w:val="0"/>
          <w:numId w:val="12"/>
        </w:numPr>
        <w:rPr>
          <w:sz w:val="24"/>
          <w:szCs w:val="24"/>
        </w:rPr>
      </w:pPr>
      <w:r w:rsidRPr="00D2042E">
        <w:t>Krepiti bilateralno in multilateralno sodelovanje med pristojnimi organi, vključno z varno in pravočasno izmenjavo informacij ter strokovnega znanja. </w:t>
      </w:r>
    </w:p>
    <w:p w14:paraId="1D63DFD8" w14:textId="5D0B0B01" w:rsidR="00D50F20" w:rsidRPr="00D2042E" w:rsidRDefault="00126A65">
      <w:pPr>
        <w:pStyle w:val="Odstavekseznama1"/>
        <w:numPr>
          <w:ilvl w:val="0"/>
          <w:numId w:val="13"/>
        </w:numPr>
        <w:rPr>
          <w:sz w:val="24"/>
          <w:szCs w:val="24"/>
        </w:rPr>
      </w:pPr>
      <w:r w:rsidRPr="00D2042E">
        <w:t>Vzpostaviti in redno preizkušati postopke za zaprošanje za mednarodno pomoč, njeno sprejemanje in zagotavljanje mednarodne pomoči ob pomembnih incidentih in krizah. </w:t>
      </w:r>
    </w:p>
    <w:p w14:paraId="5193E82E" w14:textId="77777777" w:rsidR="00D50F20" w:rsidRPr="00D2042E" w:rsidRDefault="00126A65">
      <w:pPr>
        <w:pStyle w:val="Odstavekseznama1"/>
        <w:numPr>
          <w:ilvl w:val="0"/>
          <w:numId w:val="14"/>
        </w:numPr>
        <w:rPr>
          <w:sz w:val="24"/>
          <w:szCs w:val="24"/>
        </w:rPr>
      </w:pPr>
      <w:r w:rsidRPr="00D2042E">
        <w:t>Zagovarjati odgovorno ravnanje držav v kibernetskem prostoru.</w:t>
      </w:r>
    </w:p>
    <w:p w14:paraId="28DEC495" w14:textId="77777777" w:rsidR="00D50F20" w:rsidRPr="00D2042E" w:rsidRDefault="00126A65">
      <w:pPr>
        <w:pStyle w:val="Odstavekseznama1"/>
        <w:numPr>
          <w:ilvl w:val="0"/>
          <w:numId w:val="14"/>
        </w:numPr>
        <w:rPr>
          <w:sz w:val="24"/>
          <w:szCs w:val="24"/>
        </w:rPr>
      </w:pPr>
      <w:r w:rsidRPr="00D2042E">
        <w:t>Podpirati usklajene mednarodne odzive na zlonamerne kibernetske dejavnosti in prizadevanja proti širjenju ter neodgovorni uporabi komercialnih orodij za vdore. </w:t>
      </w:r>
    </w:p>
    <w:p w14:paraId="0DFE223A" w14:textId="77777777" w:rsidR="00D50F20" w:rsidRPr="00D2042E" w:rsidRDefault="00126A65">
      <w:r w:rsidRPr="00D2042E">
        <w:br w:type="page"/>
      </w:r>
    </w:p>
    <w:p w14:paraId="65D003F3" w14:textId="77777777" w:rsidR="00D50F20" w:rsidRPr="00D2042E" w:rsidRDefault="00126A65">
      <w:pPr>
        <w:pStyle w:val="Naslov1"/>
        <w:rPr>
          <w:color w:val="auto"/>
        </w:rPr>
      </w:pPr>
      <w:bookmarkStart w:id="275" w:name="_Toc241499689"/>
      <w:bookmarkStart w:id="276" w:name="_Toc241499942"/>
      <w:bookmarkStart w:id="277" w:name="_Toc241500226"/>
      <w:bookmarkStart w:id="278" w:name="_Toc242102275"/>
      <w:bookmarkStart w:id="279" w:name="_Toc242102369"/>
      <w:bookmarkStart w:id="280" w:name="_Toc242128644"/>
      <w:bookmarkStart w:id="281" w:name="_Toc242128738"/>
      <w:bookmarkStart w:id="282" w:name="_Toc242364388"/>
      <w:bookmarkStart w:id="283" w:name="_Toc242799389"/>
      <w:r w:rsidRPr="00D2042E">
        <w:rPr>
          <w:color w:val="auto"/>
        </w:rPr>
        <w:lastRenderedPageBreak/>
        <w:t>KIBERNETSKA VARNOST, ZASEBNOST IN ČLOVEKOVE PRAVICE</w:t>
      </w:r>
      <w:bookmarkEnd w:id="275"/>
      <w:bookmarkEnd w:id="276"/>
      <w:bookmarkEnd w:id="277"/>
      <w:bookmarkEnd w:id="278"/>
      <w:bookmarkEnd w:id="279"/>
      <w:bookmarkEnd w:id="280"/>
      <w:bookmarkEnd w:id="281"/>
      <w:bookmarkEnd w:id="282"/>
      <w:bookmarkEnd w:id="283"/>
    </w:p>
    <w:p w14:paraId="694D42C6" w14:textId="6CC676DE" w:rsidR="00D50F20" w:rsidRPr="00D2042E" w:rsidRDefault="00126A65">
      <w:pPr>
        <w:pStyle w:val="Navaden1"/>
        <w:spacing w:after="140" w:line="300" w:lineRule="auto"/>
        <w:rPr>
          <w:color w:val="auto"/>
        </w:rPr>
      </w:pPr>
      <w:r w:rsidRPr="00D2042E">
        <w:rPr>
          <w:color w:val="auto"/>
        </w:rPr>
        <w:t>Kibernetska varnost se zagotavlja ob spoštovanju človekovih pravic in temeljnih svoboščin, zasebnosti, varstva osebnih podatkov in zaupnosti komunikacij. Vsi ukrepi se izvajajo na jasni pravni podlagi ter ob ustreznih varovalkah za zaščito pravic posameznikov in posameznih družbenih skupin. Zahteve in obveznosti glede kibernetske varnosti morajo biti zato sorazmerne, namenske, utemeljene na tveganjih ali vplivu grožnje na družbo ter prilagojene posebnostim posameznih družbenih skupin.</w:t>
      </w:r>
    </w:p>
    <w:p w14:paraId="6E17DA8C" w14:textId="77777777" w:rsidR="00D50F20" w:rsidRPr="00D2042E" w:rsidRDefault="00126A65">
      <w:pPr>
        <w:pStyle w:val="Naslov2"/>
        <w:rPr>
          <w:color w:val="auto"/>
        </w:rPr>
      </w:pPr>
      <w:bookmarkStart w:id="284" w:name="_Toc241499690"/>
      <w:bookmarkStart w:id="285" w:name="_Toc241499943"/>
      <w:bookmarkStart w:id="286" w:name="_Toc241500227"/>
      <w:bookmarkStart w:id="287" w:name="_Toc242102276"/>
      <w:bookmarkStart w:id="288" w:name="_Toc242102370"/>
      <w:bookmarkStart w:id="289" w:name="_Toc242128645"/>
      <w:bookmarkStart w:id="290" w:name="_Toc242128739"/>
      <w:bookmarkStart w:id="291" w:name="_Toc242364389"/>
      <w:bookmarkStart w:id="292" w:name="_Toc242799390"/>
      <w:r w:rsidRPr="00D2042E">
        <w:rPr>
          <w:color w:val="auto"/>
        </w:rPr>
        <w:t>Strateške usmeritve</w:t>
      </w:r>
      <w:bookmarkEnd w:id="284"/>
      <w:bookmarkEnd w:id="285"/>
      <w:bookmarkEnd w:id="286"/>
      <w:bookmarkEnd w:id="287"/>
      <w:bookmarkEnd w:id="288"/>
      <w:bookmarkEnd w:id="289"/>
      <w:bookmarkEnd w:id="290"/>
      <w:bookmarkEnd w:id="291"/>
      <w:bookmarkEnd w:id="292"/>
    </w:p>
    <w:p w14:paraId="3CC55BB6" w14:textId="77777777" w:rsidR="00D50F20" w:rsidRPr="00D2042E" w:rsidRDefault="00126A65">
      <w:pPr>
        <w:pStyle w:val="Odstavekseznama1"/>
        <w:numPr>
          <w:ilvl w:val="0"/>
          <w:numId w:val="4"/>
        </w:numPr>
      </w:pPr>
      <w:r w:rsidRPr="00D2042E">
        <w:t>Zagotavljati zakonito, sorazmerno in odgovorno izvajanje dejavnosti na področju kibernetske varnosti.</w:t>
      </w:r>
    </w:p>
    <w:p w14:paraId="2708684D" w14:textId="647F709B" w:rsidR="00D50F20" w:rsidRPr="00D2042E" w:rsidRDefault="00126A65">
      <w:pPr>
        <w:pStyle w:val="Odstavekseznama1"/>
        <w:numPr>
          <w:ilvl w:val="0"/>
          <w:numId w:val="4"/>
        </w:numPr>
      </w:pPr>
      <w:r w:rsidRPr="00D2042E">
        <w:t>Pri načrtovanju in izvajanj ukrepov zagotavljati spoštovanje človekovih pravic in temeljnih svoboščin; morebitne omejitve morajo imeti pravno podlago, biti nujno sorazmerne ter podvržene ustreznemu nadzoru in pravnemu varstvu.</w:t>
      </w:r>
    </w:p>
    <w:p w14:paraId="7A5C2C8E" w14:textId="77777777" w:rsidR="00D50F20" w:rsidRPr="00D2042E" w:rsidRDefault="00126A65">
      <w:pPr>
        <w:pStyle w:val="Odstavekseznama1"/>
        <w:numPr>
          <w:ilvl w:val="0"/>
          <w:numId w:val="4"/>
        </w:numPr>
      </w:pPr>
      <w:r w:rsidRPr="00D2042E">
        <w:t>Krepiti zaupanje prebivalcev in organizacij v digitalno okolje ter digitalne storitve.</w:t>
      </w:r>
    </w:p>
    <w:p w14:paraId="3D2642D1" w14:textId="6D915C65" w:rsidR="00D50F20" w:rsidRPr="00D2042E" w:rsidRDefault="00126A65">
      <w:pPr>
        <w:pStyle w:val="Odstavekseznama1"/>
        <w:numPr>
          <w:ilvl w:val="0"/>
          <w:numId w:val="4"/>
        </w:numPr>
      </w:pPr>
      <w:r w:rsidRPr="00D2042E">
        <w:t xml:space="preserve">Upoštevati načela varstva osebnih podatkov in zasebnosti pri načrtovanju in izvajanju </w:t>
      </w:r>
      <w:proofErr w:type="spellStart"/>
      <w:r w:rsidRPr="00D2042E">
        <w:t>kibernetskovarnostnih</w:t>
      </w:r>
      <w:proofErr w:type="spellEnd"/>
      <w:r w:rsidRPr="00D2042E">
        <w:t xml:space="preserve"> ukrepov.</w:t>
      </w:r>
    </w:p>
    <w:p w14:paraId="3D62756A" w14:textId="3D83D406" w:rsidR="00D50F20" w:rsidRPr="00D2042E" w:rsidRDefault="00126A65">
      <w:pPr>
        <w:pStyle w:val="Odstavekseznama1"/>
        <w:numPr>
          <w:ilvl w:val="0"/>
          <w:numId w:val="4"/>
        </w:numPr>
      </w:pPr>
      <w:r w:rsidRPr="00D2042E">
        <w:t xml:space="preserve">Spoštovati zasebnost posameznika v kibernetskem prostoru ter ozaveščati o njenem pomenu in spodbujati njeno varovanje z ustrezno kibernetsko higieno. </w:t>
      </w:r>
    </w:p>
    <w:p w14:paraId="7FDE0FE2" w14:textId="483356A0" w:rsidR="00D50F20" w:rsidRPr="00D2042E" w:rsidRDefault="00126A65">
      <w:pPr>
        <w:pStyle w:val="Odstavekseznama1"/>
        <w:numPr>
          <w:ilvl w:val="0"/>
          <w:numId w:val="4"/>
        </w:numPr>
      </w:pPr>
      <w:r w:rsidRPr="00D2042E">
        <w:t>Zagotavljati preglednost in sledljivost odločitev pri uporabi naprednih tehnologij in umetne inteligence.</w:t>
      </w:r>
    </w:p>
    <w:p w14:paraId="051447A4" w14:textId="77777777" w:rsidR="00D50F20" w:rsidRPr="00D2042E" w:rsidRDefault="00126A65">
      <w:pPr>
        <w:pStyle w:val="Odstavekseznama1"/>
        <w:numPr>
          <w:ilvl w:val="0"/>
          <w:numId w:val="4"/>
        </w:numPr>
      </w:pPr>
      <w:r w:rsidRPr="00D2042E">
        <w:t>Razvijati zmogljivosti za varno uporabo novih tehnologij ob spoštovanju temeljnih pravic.</w:t>
      </w:r>
    </w:p>
    <w:p w14:paraId="55B48A05" w14:textId="6EE09ED1" w:rsidR="00D50F20" w:rsidRPr="00D2042E" w:rsidRDefault="00126A65">
      <w:pPr>
        <w:jc w:val="both"/>
      </w:pPr>
      <w:r w:rsidRPr="00D2042E">
        <w:br w:type="page"/>
      </w:r>
    </w:p>
    <w:p w14:paraId="0A1FD19D" w14:textId="77777777" w:rsidR="00D50F20" w:rsidRPr="00D2042E" w:rsidRDefault="00126A65">
      <w:pPr>
        <w:pStyle w:val="Naslov1"/>
        <w:rPr>
          <w:color w:val="auto"/>
        </w:rPr>
      </w:pPr>
      <w:bookmarkStart w:id="293" w:name="_Toc241499691"/>
      <w:bookmarkStart w:id="294" w:name="_Toc241499944"/>
      <w:bookmarkStart w:id="295" w:name="_Toc241500228"/>
      <w:bookmarkStart w:id="296" w:name="_Toc242102277"/>
      <w:bookmarkStart w:id="297" w:name="_Toc242102371"/>
      <w:bookmarkStart w:id="298" w:name="_Toc242128646"/>
      <w:bookmarkStart w:id="299" w:name="_Toc242128740"/>
      <w:bookmarkStart w:id="300" w:name="_Toc242364390"/>
      <w:bookmarkStart w:id="301" w:name="_Toc242799391"/>
      <w:r w:rsidRPr="00D2042E">
        <w:rPr>
          <w:color w:val="auto"/>
        </w:rPr>
        <w:lastRenderedPageBreak/>
        <w:t>MEHANIZEM ZA OPREDELITEV USTREZNIH VIROV IN OCENO TVEGANJ</w:t>
      </w:r>
      <w:bookmarkEnd w:id="293"/>
      <w:bookmarkEnd w:id="294"/>
      <w:bookmarkEnd w:id="295"/>
      <w:bookmarkEnd w:id="296"/>
      <w:bookmarkEnd w:id="297"/>
      <w:bookmarkEnd w:id="298"/>
      <w:bookmarkEnd w:id="299"/>
      <w:bookmarkEnd w:id="300"/>
      <w:bookmarkEnd w:id="301"/>
    </w:p>
    <w:p w14:paraId="12B87340" w14:textId="667DC7ED" w:rsidR="00D50F20" w:rsidRPr="00D2042E" w:rsidRDefault="00126A65">
      <w:pPr>
        <w:spacing w:line="300" w:lineRule="atLeast"/>
        <w:jc w:val="both"/>
        <w:rPr>
          <w:rFonts w:eastAsia="Times New Roman"/>
        </w:rPr>
      </w:pPr>
      <w:r w:rsidRPr="00D2042E">
        <w:rPr>
          <w:rFonts w:eastAsia="Times New Roman"/>
        </w:rPr>
        <w:t>Učinkovita zaščita digitalne infrastrukture in nemoteno delovanje ključnih storitev zahtevata sistematično opredelitev virov in oceno tveganj.</w:t>
      </w:r>
      <w:r w:rsidRPr="00D2042E">
        <w:rPr>
          <w:rFonts w:ascii="Segoe UI" w:hAnsi="Segoe UI" w:cs="Segoe UI"/>
          <w:sz w:val="18"/>
          <w:szCs w:val="18"/>
        </w:rPr>
        <w:t xml:space="preserve"> </w:t>
      </w:r>
      <w:r w:rsidRPr="00D2042E">
        <w:rPr>
          <w:rFonts w:eastAsia="Times New Roman"/>
        </w:rPr>
        <w:t xml:space="preserve">Republika Slovenija bo vzpostavila mehanizem za pripravo ocene ogroženosti. Ocena bo temeljila na oceni tveganj, mehanizem pa bo omogočil opredelitev ustreznih virov. Mehanizem bo omogočil bolj učinkovito upravljanje kibernetskih groženj na nacionalni ravni. </w:t>
      </w:r>
    </w:p>
    <w:p w14:paraId="492A1060" w14:textId="627825A6" w:rsidR="00D50F20" w:rsidRPr="00D2042E" w:rsidRDefault="00126A65">
      <w:pPr>
        <w:spacing w:line="300" w:lineRule="atLeast"/>
        <w:jc w:val="both"/>
        <w:rPr>
          <w:rFonts w:eastAsia="Times New Roman"/>
        </w:rPr>
      </w:pPr>
      <w:r w:rsidRPr="00D2042E">
        <w:rPr>
          <w:rFonts w:eastAsia="Times New Roman"/>
        </w:rPr>
        <w:t>Mehanizem bo omogočal prednostno razvrščanje ukrepov glede na stopnjo ogroženosti, pomen storitev za delovanje države in gospodarstva ter razpoložljive kadrovske, tehnične in finančne vire. Tako se bodo omejeni viri usmerjali predvsem v zaščito najpomembnejših sistemov, storitev, sektorjev in nacionalnih odvisnosti.</w:t>
      </w:r>
    </w:p>
    <w:p w14:paraId="47D3B0F9" w14:textId="77777777" w:rsidR="00D50F20" w:rsidRPr="00D2042E" w:rsidRDefault="00126A65">
      <w:pPr>
        <w:pStyle w:val="Naslov2"/>
        <w:rPr>
          <w:color w:val="auto"/>
        </w:rPr>
      </w:pPr>
      <w:bookmarkStart w:id="302" w:name="_Toc241499692"/>
      <w:bookmarkStart w:id="303" w:name="_Toc241499945"/>
      <w:bookmarkStart w:id="304" w:name="_Toc241500229"/>
      <w:bookmarkStart w:id="305" w:name="_Toc242102278"/>
      <w:bookmarkStart w:id="306" w:name="_Toc242102372"/>
      <w:bookmarkStart w:id="307" w:name="_Toc242128647"/>
      <w:bookmarkStart w:id="308" w:name="_Toc242128741"/>
      <w:bookmarkStart w:id="309" w:name="_Toc242364391"/>
      <w:bookmarkStart w:id="310" w:name="_Toc242799392"/>
      <w:r w:rsidRPr="00D2042E">
        <w:rPr>
          <w:color w:val="auto"/>
        </w:rPr>
        <w:t>Zagotavljanje virov za izvajanje strategije</w:t>
      </w:r>
      <w:bookmarkEnd w:id="302"/>
      <w:bookmarkEnd w:id="303"/>
      <w:bookmarkEnd w:id="304"/>
      <w:bookmarkEnd w:id="305"/>
      <w:bookmarkEnd w:id="306"/>
      <w:bookmarkEnd w:id="307"/>
      <w:bookmarkEnd w:id="308"/>
      <w:bookmarkEnd w:id="309"/>
      <w:bookmarkEnd w:id="310"/>
    </w:p>
    <w:p w14:paraId="48800A54" w14:textId="52622D41" w:rsidR="00D50F20" w:rsidRPr="00D2042E" w:rsidRDefault="00126A65">
      <w:pPr>
        <w:pStyle w:val="Navaden1"/>
        <w:spacing w:after="140" w:line="300" w:lineRule="auto"/>
        <w:rPr>
          <w:color w:val="auto"/>
        </w:rPr>
      </w:pPr>
      <w:r w:rsidRPr="00D2042E">
        <w:rPr>
          <w:color w:val="auto"/>
        </w:rPr>
        <w:t>Za izvajanje strategije je treba zagotoviti ustrezne kadrovske, organizacijske, tehnične in finančne vire. Sredstva za njeno izvajanje se zagotovijo iz državnega proračuna, sredstev Evropske unije, lastnih sredstev izvajalcev ter drugih zakonitih virov financiranja. Pri tem se spodbuja sodelovanje javnega in zasebnega sektorja ter raziskovalnih in akademskih institucij.</w:t>
      </w:r>
    </w:p>
    <w:p w14:paraId="511572D7" w14:textId="3FB029CD" w:rsidR="00D50F20" w:rsidRPr="00D2042E" w:rsidRDefault="00126A65">
      <w:pPr>
        <w:pStyle w:val="Navaden1"/>
        <w:spacing w:after="140" w:line="300" w:lineRule="auto"/>
        <w:rPr>
          <w:color w:val="auto"/>
        </w:rPr>
      </w:pPr>
      <w:r w:rsidRPr="00D2042E">
        <w:rPr>
          <w:color w:val="auto"/>
        </w:rPr>
        <w:t xml:space="preserve">Pri načrtovanju in uporabi nacionalnih in evropskih virov financiranja se zagotavlja njihova usklajenost s prednostnimi nalogami strategije ter spodbuja usmerjanje sredstev v razvoj nacionalnih </w:t>
      </w:r>
      <w:proofErr w:type="spellStart"/>
      <w:r w:rsidRPr="00D2042E">
        <w:rPr>
          <w:color w:val="auto"/>
        </w:rPr>
        <w:t>kibernetskovarnostnih</w:t>
      </w:r>
      <w:proofErr w:type="spellEnd"/>
      <w:r w:rsidRPr="00D2042E">
        <w:rPr>
          <w:color w:val="auto"/>
        </w:rPr>
        <w:t xml:space="preserve"> zmogljivosti, kompetenc, raziskav in inovacij ter krepitev kibernetske odpornosti gospodarstva.</w:t>
      </w:r>
    </w:p>
    <w:p w14:paraId="725F2F16" w14:textId="274B4497" w:rsidR="00D50F20" w:rsidRPr="00D2042E" w:rsidRDefault="00126A65">
      <w:pPr>
        <w:pStyle w:val="Navaden1"/>
        <w:spacing w:after="140" w:line="300" w:lineRule="auto"/>
        <w:rPr>
          <w:color w:val="auto"/>
        </w:rPr>
      </w:pPr>
      <w:r w:rsidRPr="00D2042E">
        <w:rPr>
          <w:color w:val="auto"/>
        </w:rPr>
        <w:t>Nosilci ukrepov so odgovorni za načrtovanje potrebnih virov ob upoštevanju ocene ogroženosti in ocene tveganj, prednostnih nalog strategije, razvoja kibernetskih groženj ter potreb po krepitvi odpornosti države, gospodarstva in družbe.</w:t>
      </w:r>
    </w:p>
    <w:p w14:paraId="3200004C" w14:textId="38F6D64B" w:rsidR="00D50F20" w:rsidRPr="00D2042E" w:rsidRDefault="00126A65">
      <w:pPr>
        <w:pStyle w:val="Navaden1"/>
        <w:spacing w:after="140" w:line="300" w:lineRule="auto"/>
        <w:rPr>
          <w:color w:val="auto"/>
        </w:rPr>
      </w:pPr>
      <w:r w:rsidRPr="00D2042E">
        <w:rPr>
          <w:color w:val="auto"/>
        </w:rPr>
        <w:t>Konkretni ukrepi, njihovi nosilci in sodelujoči deležniki, roki izvedbe, potrebni in zagotovljeni viri financiranja, finančne in kadrovske posledice ter ključni kazalniki uspešnosti se določijo v akcijskem načrtu.</w:t>
      </w:r>
    </w:p>
    <w:p w14:paraId="26078868" w14:textId="55ACCA0D" w:rsidR="00D50F20" w:rsidRPr="00D2042E" w:rsidRDefault="00126A65">
      <w:pPr>
        <w:spacing w:after="140" w:line="300" w:lineRule="auto"/>
        <w:jc w:val="both"/>
      </w:pPr>
      <w:r w:rsidRPr="00D2042E">
        <w:t>Pri pripravi in izvajanju akcijskega načrta se preveri tudi morebitni vpliv predlaganih rešitev na že dosežene mejnike in cilje Načrta za okrevanje in odpornost ter zagotovi, da njihovo izvajanje ne posega v že izvedene reforme oziroma ne ustvarja tveganja za njihovo razveljavitev. . Preverjanje se opravi že pri pripravi novih strateških rešitev, zlasti pri posegih v že vzpostavljene institucionalne in tehnične zmogljivosti.</w:t>
      </w:r>
    </w:p>
    <w:p w14:paraId="58CF19FC" w14:textId="19468C61" w:rsidR="00D50F20" w:rsidRPr="00D2042E" w:rsidRDefault="00126A65">
      <w:pPr>
        <w:pStyle w:val="Navaden1"/>
        <w:spacing w:after="140" w:line="300" w:lineRule="auto"/>
        <w:rPr>
          <w:color w:val="auto"/>
        </w:rPr>
      </w:pPr>
      <w:r w:rsidRPr="00D2042E">
        <w:rPr>
          <w:color w:val="auto"/>
        </w:rPr>
        <w:t>Pri načrtovanju in uporabi virov se upoštevajo načela učinkovitosti, gospodarnosti, sorazmernosti in dolgoročne vzdržnosti, posebna pozornost pa se namenja razvoju strokovnih kadrov ter krepitvi nacionalnih zmogljivosti na področju kibernetske varnosti.</w:t>
      </w:r>
    </w:p>
    <w:p w14:paraId="288D070F" w14:textId="77777777" w:rsidR="00D50F20" w:rsidRPr="00D2042E" w:rsidRDefault="00126A65">
      <w:pPr>
        <w:pStyle w:val="Naslov3"/>
      </w:pPr>
      <w:bookmarkStart w:id="311" w:name="_Toc242102279"/>
      <w:bookmarkStart w:id="312" w:name="_Toc242102373"/>
      <w:bookmarkStart w:id="313" w:name="_Toc242128648"/>
      <w:bookmarkStart w:id="314" w:name="_Toc242128742"/>
      <w:bookmarkStart w:id="315" w:name="_Toc242364392"/>
      <w:bookmarkStart w:id="316" w:name="_Toc242799393"/>
      <w:r w:rsidRPr="00D2042E">
        <w:rPr>
          <w:sz w:val="24"/>
          <w:szCs w:val="24"/>
        </w:rPr>
        <w:t>Strateška usmeritev</w:t>
      </w:r>
      <w:bookmarkEnd w:id="311"/>
      <w:bookmarkEnd w:id="312"/>
      <w:bookmarkEnd w:id="313"/>
      <w:bookmarkEnd w:id="314"/>
      <w:bookmarkEnd w:id="315"/>
      <w:bookmarkEnd w:id="316"/>
    </w:p>
    <w:p w14:paraId="49249C66" w14:textId="31DE74F6" w:rsidR="00D50F20" w:rsidRDefault="00126A65">
      <w:pPr>
        <w:pStyle w:val="Odstavekseznama"/>
        <w:numPr>
          <w:ilvl w:val="0"/>
          <w:numId w:val="8"/>
        </w:numPr>
        <w:spacing w:after="140" w:line="300" w:lineRule="auto"/>
        <w:jc w:val="both"/>
      </w:pPr>
      <w:r w:rsidRPr="00D2042E">
        <w:t>Zagotavljati pogoje za dolgoročno vzdržen razvoj kadrovskih, organizacijskih, tehničnih in finančnih zmogljivosti, potrebnih za izvajanje strateških ciljev ter krepitev kibernetske odpornosti Republike Slovenije.</w:t>
      </w:r>
    </w:p>
    <w:p w14:paraId="010999A5" w14:textId="77777777" w:rsidR="00F0233E" w:rsidRDefault="00F0233E" w:rsidP="00F0233E">
      <w:pPr>
        <w:spacing w:after="140" w:line="300" w:lineRule="auto"/>
        <w:jc w:val="both"/>
      </w:pPr>
    </w:p>
    <w:p w14:paraId="4B190CB5" w14:textId="77777777" w:rsidR="00F0233E" w:rsidRPr="00D2042E" w:rsidRDefault="00F0233E" w:rsidP="00F0233E">
      <w:pPr>
        <w:spacing w:after="140" w:line="300" w:lineRule="auto"/>
        <w:jc w:val="both"/>
      </w:pPr>
    </w:p>
    <w:p w14:paraId="1C90E320" w14:textId="77777777" w:rsidR="00D50F20" w:rsidRPr="00D2042E" w:rsidRDefault="00126A65">
      <w:pPr>
        <w:pStyle w:val="Naslov2"/>
        <w:rPr>
          <w:color w:val="auto"/>
        </w:rPr>
      </w:pPr>
      <w:bookmarkStart w:id="317" w:name="_Toc241499693"/>
      <w:bookmarkStart w:id="318" w:name="_Toc241499946"/>
      <w:bookmarkStart w:id="319" w:name="_Toc241500230"/>
      <w:bookmarkStart w:id="320" w:name="_Toc242102280"/>
      <w:bookmarkStart w:id="321" w:name="_Toc242102374"/>
      <w:bookmarkStart w:id="322" w:name="_Toc242128649"/>
      <w:bookmarkStart w:id="323" w:name="_Toc242128743"/>
      <w:bookmarkStart w:id="324" w:name="_Toc242364393"/>
      <w:bookmarkStart w:id="325" w:name="_Toc242799394"/>
      <w:r w:rsidRPr="00D2042E">
        <w:rPr>
          <w:color w:val="auto"/>
        </w:rPr>
        <w:lastRenderedPageBreak/>
        <w:t>Opredelitev ustreznih virov</w:t>
      </w:r>
      <w:bookmarkEnd w:id="317"/>
      <w:bookmarkEnd w:id="318"/>
      <w:bookmarkEnd w:id="319"/>
      <w:bookmarkEnd w:id="320"/>
      <w:bookmarkEnd w:id="321"/>
      <w:bookmarkEnd w:id="322"/>
      <w:bookmarkEnd w:id="323"/>
      <w:bookmarkEnd w:id="324"/>
      <w:bookmarkEnd w:id="325"/>
    </w:p>
    <w:p w14:paraId="45E27BC5" w14:textId="77777777" w:rsidR="00D50F20" w:rsidRPr="00D2042E" w:rsidRDefault="00126A65">
      <w:pPr>
        <w:pStyle w:val="Navaden1"/>
        <w:spacing w:after="140" w:line="300" w:lineRule="auto"/>
        <w:rPr>
          <w:color w:val="auto"/>
        </w:rPr>
      </w:pPr>
      <w:r w:rsidRPr="00D2042E">
        <w:rPr>
          <w:color w:val="auto"/>
        </w:rPr>
        <w:t>Naložbe v kibernetsko varnost so naložbe v odpornost države, gospodarstva in družbe. Zmanjšujejo tveganje incidentov in stroške njihove obravnave, hkrati pa krepijo zaupanje v slovenski digitalni prostor, produktivnost, inovativnost ter razvoj visokotehnoloških podjetij in strokovnih kadrov.</w:t>
      </w:r>
    </w:p>
    <w:p w14:paraId="695EE031" w14:textId="684072F4" w:rsidR="00D50F20" w:rsidRPr="00D2042E" w:rsidRDefault="00126A65">
      <w:pPr>
        <w:pStyle w:val="Navaden1"/>
        <w:spacing w:after="140" w:line="300" w:lineRule="auto"/>
        <w:rPr>
          <w:color w:val="auto"/>
        </w:rPr>
      </w:pPr>
      <w:r w:rsidRPr="00D2042E">
        <w:rPr>
          <w:color w:val="auto"/>
        </w:rPr>
        <w:t>Ustrezni viri za zagotavljanje kibernetske varnosti vključujejo kadre, tehnično infrastrukturo in finančna sredstva. Kadrovski viri obsegajo pridobivanje, razvoj in zadrževanje strokovnjakov za kibernetsko varnost, tehnično-infrastrukturni viri zajemajo varnostne tehnologije, sisteme in orodja, finančno-proračunski viri pa omogočajo njihovo dolgoročno zagotavljanje.</w:t>
      </w:r>
    </w:p>
    <w:p w14:paraId="4922C781" w14:textId="158A31C8" w:rsidR="00D50F20" w:rsidRPr="00D2042E" w:rsidRDefault="00126A65">
      <w:pPr>
        <w:spacing w:after="140" w:line="300" w:lineRule="auto"/>
        <w:jc w:val="both"/>
      </w:pPr>
      <w:r w:rsidRPr="00D2042E">
        <w:t xml:space="preserve">Kadrovsko načrtovanje temelji na pregledu potrebnih kompetenc, delovnih obremenitev in zahtev neprekinjenega delovanja. Vključuje razvoj in zadrževanje strokovnjakov, mentorstvo, načrtovanje nasledstva na ključnih delovnih mestih ter krepitev lastnega znanja za vodenje in nadzor zunanjih izvajalcev. Pri </w:t>
      </w:r>
      <w:proofErr w:type="gramStart"/>
      <w:r w:rsidRPr="00D2042E">
        <w:t>projektno</w:t>
      </w:r>
      <w:proofErr w:type="gramEnd"/>
      <w:r w:rsidRPr="00D2042E">
        <w:t xml:space="preserve"> financiranih zmogljivostih se že ob odločitvi o naložbi opredelijo prihodnji upravljavec, stroški vzdrževanja in obnove ter viri za delovanje po koncu projekta.</w:t>
      </w:r>
    </w:p>
    <w:p w14:paraId="6A394696" w14:textId="2DE26AF1" w:rsidR="00D50F20" w:rsidRPr="00D2042E" w:rsidRDefault="00126A65">
      <w:pPr>
        <w:pStyle w:val="Naslov2"/>
        <w:rPr>
          <w:color w:val="auto"/>
        </w:rPr>
      </w:pPr>
      <w:bookmarkStart w:id="326" w:name="_Toc242102281"/>
      <w:bookmarkStart w:id="327" w:name="_Toc242102375"/>
      <w:bookmarkStart w:id="328" w:name="_Toc242128650"/>
      <w:bookmarkStart w:id="329" w:name="_Toc242128744"/>
      <w:bookmarkStart w:id="330" w:name="_Toc242364394"/>
      <w:bookmarkStart w:id="331" w:name="_Toc241499694"/>
      <w:bookmarkStart w:id="332" w:name="_Toc241499947"/>
      <w:bookmarkStart w:id="333" w:name="_Toc241500231"/>
      <w:bookmarkStart w:id="334" w:name="_Toc242799395"/>
      <w:r w:rsidRPr="00D2042E">
        <w:rPr>
          <w:color w:val="auto"/>
        </w:rPr>
        <w:t>Okvir ocene ogroženosti</w:t>
      </w:r>
      <w:bookmarkEnd w:id="326"/>
      <w:bookmarkEnd w:id="327"/>
      <w:bookmarkEnd w:id="328"/>
      <w:bookmarkEnd w:id="329"/>
      <w:bookmarkEnd w:id="330"/>
      <w:bookmarkEnd w:id="334"/>
      <w:r w:rsidRPr="00D2042E">
        <w:rPr>
          <w:color w:val="auto"/>
        </w:rPr>
        <w:t xml:space="preserve"> </w:t>
      </w:r>
      <w:bookmarkEnd w:id="331"/>
      <w:bookmarkEnd w:id="332"/>
      <w:bookmarkEnd w:id="333"/>
    </w:p>
    <w:p w14:paraId="24928889" w14:textId="35DE9079" w:rsidR="00D50F20" w:rsidRPr="00D2042E" w:rsidRDefault="00126A65">
      <w:pPr>
        <w:pStyle w:val="Navaden1"/>
        <w:spacing w:after="140" w:line="300" w:lineRule="auto"/>
        <w:rPr>
          <w:color w:val="auto"/>
        </w:rPr>
      </w:pPr>
      <w:r w:rsidRPr="00D2042E">
        <w:rPr>
          <w:color w:val="auto"/>
        </w:rPr>
        <w:t>Ocena ogroženosti bo temeljila na stalnem spremljanju kibernetskih groženj, ranljivosti in njihovih vplivov na delovanje države, gospodarstva ter ključnih storitev. Upoštevala bo tudi stanje kibernetske varnosti v drugih državah članicah EU in NATO ter širše geopolitično dogajanje. Upoštevala bo glavne kategorije kibernetskih groženj, ranljivosti informacijskih in operativnih tehnologij, tveganja digitalnih dobavnih verig, odvisnosti od zunanjih izvajalcev in čezmejnih storitev ter možne kaskadne učinke med sektorji.</w:t>
      </w:r>
    </w:p>
    <w:p w14:paraId="33CDCD8E" w14:textId="0A349D52" w:rsidR="00D50F20" w:rsidRPr="00D2042E" w:rsidRDefault="00126A65">
      <w:pPr>
        <w:pStyle w:val="Navaden1"/>
        <w:spacing w:after="140" w:line="300" w:lineRule="auto"/>
        <w:rPr>
          <w:color w:val="auto"/>
        </w:rPr>
      </w:pPr>
      <w:r w:rsidRPr="00D2042E">
        <w:rPr>
          <w:color w:val="auto"/>
        </w:rPr>
        <w:t xml:space="preserve">Na tej podlagi se bodo določali prednostni varnostni ukrepi in priporočila, kot so večfaktorska avtentikacija, upravljanje privilegiranih dostopov, </w:t>
      </w:r>
      <w:proofErr w:type="gramStart"/>
      <w:r w:rsidRPr="00D2042E">
        <w:rPr>
          <w:color w:val="auto"/>
        </w:rPr>
        <w:t>segmentacija</w:t>
      </w:r>
      <w:proofErr w:type="gramEnd"/>
      <w:r w:rsidRPr="00D2042E">
        <w:rPr>
          <w:color w:val="auto"/>
        </w:rPr>
        <w:t xml:space="preserve"> omrežij, varnostno kopiranje, zaščita storitev v oblaku in ustrezno šifriranje. Redne varnostne presoje, testi robustnosti, simulacije incidentov in vaje bodo omogočali stalno spremljanje, posodabljanje in izboljševanje metodologije, na podlagi katere se pripravlja ocena ogroženosti, in obvladujejo tveganja.</w:t>
      </w:r>
    </w:p>
    <w:p w14:paraId="7C3288DB" w14:textId="44178282" w:rsidR="00D50F20" w:rsidRPr="00D2042E" w:rsidRDefault="00126A65">
      <w:pPr>
        <w:pStyle w:val="Navaden1"/>
        <w:spacing w:after="140" w:line="300" w:lineRule="auto"/>
        <w:rPr>
          <w:color w:val="auto"/>
        </w:rPr>
      </w:pPr>
      <w:r w:rsidRPr="00D2042E">
        <w:rPr>
          <w:color w:val="auto"/>
        </w:rPr>
        <w:t>Nacionalna ocena ogroženosti izhaja iz pregleda ključnih storitev, njihovih informacijskih in drugih podpornih sredstev ter medsebojnih in čezmejnih odvisnosti. Za prednostna tveganja se določijo nosilec obravnave, ukrepi in preostalo tveganje. Ocena se posodablja po potrebi oziroma ob pomembnih spremembah in po večjih incidentih ter je podlaga za razporejanje virov, pripravo sektorskih ukrepov in scenarijev vaj.</w:t>
      </w:r>
    </w:p>
    <w:p w14:paraId="2BE34A36" w14:textId="77777777" w:rsidR="00D50F20" w:rsidRPr="00D2042E" w:rsidRDefault="00126A65">
      <w:r w:rsidRPr="00D2042E">
        <w:br w:type="page"/>
      </w:r>
    </w:p>
    <w:p w14:paraId="49A2CF1C" w14:textId="77777777" w:rsidR="00D50F20" w:rsidRPr="00D2042E" w:rsidRDefault="00126A65">
      <w:pPr>
        <w:pStyle w:val="Naslov1"/>
        <w:rPr>
          <w:color w:val="auto"/>
        </w:rPr>
      </w:pPr>
      <w:bookmarkStart w:id="335" w:name="_Toc241499695"/>
      <w:bookmarkStart w:id="336" w:name="_Toc241499948"/>
      <w:bookmarkStart w:id="337" w:name="_Toc241500232"/>
      <w:bookmarkStart w:id="338" w:name="_Toc242102282"/>
      <w:bookmarkStart w:id="339" w:name="_Toc242102376"/>
      <w:bookmarkStart w:id="340" w:name="_Toc242128651"/>
      <w:bookmarkStart w:id="341" w:name="_Toc242128745"/>
      <w:bookmarkStart w:id="342" w:name="_Toc242364395"/>
      <w:bookmarkStart w:id="343" w:name="_Toc242799396"/>
      <w:r w:rsidRPr="00D2042E">
        <w:rPr>
          <w:color w:val="auto"/>
        </w:rPr>
        <w:lastRenderedPageBreak/>
        <w:t>SPREMLJANJE, VREDNOTENJE IN POSODABLJANJE STRATEGIJE</w:t>
      </w:r>
      <w:bookmarkEnd w:id="335"/>
      <w:bookmarkEnd w:id="336"/>
      <w:bookmarkEnd w:id="337"/>
      <w:bookmarkEnd w:id="338"/>
      <w:bookmarkEnd w:id="339"/>
      <w:bookmarkEnd w:id="340"/>
      <w:bookmarkEnd w:id="341"/>
      <w:bookmarkEnd w:id="342"/>
      <w:bookmarkEnd w:id="343"/>
    </w:p>
    <w:p w14:paraId="71F32A72" w14:textId="77777777" w:rsidR="00D50F20" w:rsidRPr="00D2042E" w:rsidRDefault="00126A65">
      <w:pPr>
        <w:pStyle w:val="Navaden1"/>
        <w:spacing w:after="140" w:line="300" w:lineRule="auto"/>
        <w:rPr>
          <w:color w:val="auto"/>
        </w:rPr>
      </w:pPr>
      <w:r w:rsidRPr="00D2042E">
        <w:rPr>
          <w:color w:val="auto"/>
        </w:rPr>
        <w:t>Izvajanje strategije se spremlja na podlagi ključnih kazalnikov uspešnosti, rednega poročanja in periodičnega vrednotenja doseganja strateških ciljev. Skladno z ZInfV-1 pristojni nacionalni organ strategijo redno, najmanj vsakih pet let, oceni glede na doseganje ciljev in prednostnih nalog.</w:t>
      </w:r>
    </w:p>
    <w:p w14:paraId="2A77F629" w14:textId="5F346427" w:rsidR="00D50F20" w:rsidRPr="00D2042E" w:rsidRDefault="00126A65">
      <w:pPr>
        <w:pStyle w:val="Navaden1"/>
        <w:spacing w:after="140" w:line="300" w:lineRule="auto"/>
        <w:rPr>
          <w:color w:val="auto"/>
        </w:rPr>
      </w:pPr>
      <w:r w:rsidRPr="00D2042E">
        <w:rPr>
          <w:color w:val="auto"/>
        </w:rPr>
        <w:t>URSIV vzpostavi pregleden mehanizem spremljanja napredka, ki omogoča sprotno preverjanje izvajanja ukrepov, doseganja ciljnih vrednosti kazalnikov ter pravočasno prepoznavanje zamud, odstopanj in potreb po prilagoditvah. Za vsak kazalnik se v akcijskem načrtu določita vir podatkov in obdobje zajema. URSIV o izvajanju strategije letno poroča Vladi Republike Slovenije. Poročilo vključuje pregled doseganja kazalnikov, oceno izvajanja akcijskega načrta, ugotovljena odstopanja in predloge za prilagoditve.</w:t>
      </w:r>
    </w:p>
    <w:p w14:paraId="3C0CE7B1" w14:textId="6C5A83D6" w:rsidR="00D50F20" w:rsidRPr="00D2042E" w:rsidRDefault="00126A65">
      <w:pPr>
        <w:pStyle w:val="Navaden1"/>
        <w:spacing w:after="140" w:line="300" w:lineRule="auto"/>
        <w:rPr>
          <w:color w:val="auto"/>
        </w:rPr>
      </w:pPr>
      <w:r w:rsidRPr="00D2042E">
        <w:rPr>
          <w:color w:val="auto"/>
        </w:rPr>
        <w:t xml:space="preserve">Spremljanje poleg izvedenih </w:t>
      </w:r>
      <w:proofErr w:type="gramStart"/>
      <w:r w:rsidRPr="00D2042E">
        <w:rPr>
          <w:color w:val="auto"/>
        </w:rPr>
        <w:t>aktivnosti</w:t>
      </w:r>
      <w:proofErr w:type="gramEnd"/>
      <w:r w:rsidRPr="00D2042E">
        <w:rPr>
          <w:color w:val="auto"/>
        </w:rPr>
        <w:t xml:space="preserve"> vključuje njihove učinke: sposobnost obnove ključnih storitev v načrtovanem času, odpravljanje prednostnih ranljivosti, izboljšanje varnostne zrelosti in zmanjševanje kadrovskih vrzeli. Kazalniki imajo enotno metodologijo, odgovornega skrbnika, izhodiščno leto in vmesne ciljne vrednosti. Število prijavljenih incidentov se presoja ob upoštevanju sprememb v zaznavanju incidentov in poročanju o njih, saj povečanje samo po sebi ne pomeni slabše varnosti. Za ukrepe, pri katerih prihaja do zamud, se določijo </w:t>
      </w:r>
      <w:proofErr w:type="gramStart"/>
      <w:r w:rsidRPr="00D2042E">
        <w:rPr>
          <w:color w:val="auto"/>
        </w:rPr>
        <w:t>korektivni</w:t>
      </w:r>
      <w:proofErr w:type="gramEnd"/>
      <w:r w:rsidRPr="00D2042E">
        <w:rPr>
          <w:color w:val="auto"/>
        </w:rPr>
        <w:t xml:space="preserve"> ukrepi in novi roki. Javno se objavi povzetek napredka brez varovanih ali varnostno občutljivih podatkov.</w:t>
      </w:r>
    </w:p>
    <w:p w14:paraId="4C99846D" w14:textId="77777777" w:rsidR="00D50F20" w:rsidRPr="00D2042E" w:rsidRDefault="00126A65">
      <w:pPr>
        <w:pStyle w:val="Naslov2"/>
        <w:rPr>
          <w:color w:val="auto"/>
        </w:rPr>
      </w:pPr>
      <w:bookmarkStart w:id="344" w:name="_Toc241499696"/>
      <w:bookmarkStart w:id="345" w:name="_Toc241499949"/>
      <w:bookmarkStart w:id="346" w:name="_Toc241500233"/>
      <w:bookmarkStart w:id="347" w:name="_Toc242102283"/>
      <w:bookmarkStart w:id="348" w:name="_Toc242102377"/>
      <w:bookmarkStart w:id="349" w:name="_Toc242128652"/>
      <w:bookmarkStart w:id="350" w:name="_Toc242128746"/>
      <w:bookmarkStart w:id="351" w:name="_Toc242364396"/>
      <w:bookmarkStart w:id="352" w:name="_Toc242799397"/>
      <w:r w:rsidRPr="00D2042E">
        <w:rPr>
          <w:color w:val="auto"/>
        </w:rPr>
        <w:t>Strateške usmeritve</w:t>
      </w:r>
      <w:bookmarkEnd w:id="344"/>
      <w:bookmarkEnd w:id="345"/>
      <w:bookmarkEnd w:id="346"/>
      <w:bookmarkEnd w:id="347"/>
      <w:bookmarkEnd w:id="348"/>
      <w:bookmarkEnd w:id="349"/>
      <w:bookmarkEnd w:id="350"/>
      <w:bookmarkEnd w:id="351"/>
      <w:bookmarkEnd w:id="352"/>
    </w:p>
    <w:p w14:paraId="4612B9A5" w14:textId="77777777" w:rsidR="00D50F20" w:rsidRPr="00D2042E" w:rsidRDefault="00126A65">
      <w:pPr>
        <w:pStyle w:val="Odstavekseznama1"/>
        <w:numPr>
          <w:ilvl w:val="0"/>
          <w:numId w:val="8"/>
        </w:numPr>
      </w:pPr>
      <w:r w:rsidRPr="00D2042E">
        <w:t>Spremljati izvajanje strategije na podlagi merljivih kazalnikov z opredeljenimi viri podatkov in obdobji zajema.</w:t>
      </w:r>
    </w:p>
    <w:p w14:paraId="5768C7E1" w14:textId="77777777" w:rsidR="00D50F20" w:rsidRPr="00D2042E" w:rsidRDefault="00126A65">
      <w:pPr>
        <w:pStyle w:val="Odstavekseznama1"/>
        <w:numPr>
          <w:ilvl w:val="0"/>
          <w:numId w:val="8"/>
        </w:numPr>
      </w:pPr>
      <w:r w:rsidRPr="00D2042E">
        <w:t>Zagotavljati redno poročanje o izvajanju strategije in doseganju ciljev.</w:t>
      </w:r>
    </w:p>
    <w:p w14:paraId="69C8F3E1" w14:textId="77777777" w:rsidR="00D50F20" w:rsidRPr="00D2042E" w:rsidRDefault="00126A65">
      <w:pPr>
        <w:pStyle w:val="Odstavekseznama1"/>
        <w:numPr>
          <w:ilvl w:val="0"/>
          <w:numId w:val="8"/>
        </w:numPr>
      </w:pPr>
      <w:r w:rsidRPr="00D2042E">
        <w:t>Spremljati razvoj nacionalnih kibernetskih zmogljivosti in njihove zrelosti.</w:t>
      </w:r>
    </w:p>
    <w:p w14:paraId="5D40E337" w14:textId="77777777" w:rsidR="00D50F20" w:rsidRPr="00D2042E" w:rsidRDefault="00126A65">
      <w:pPr>
        <w:pStyle w:val="Odstavekseznama1"/>
        <w:numPr>
          <w:ilvl w:val="0"/>
          <w:numId w:val="8"/>
        </w:numPr>
      </w:pPr>
      <w:r w:rsidRPr="00D2042E">
        <w:t>Redno preverjati ustreznost ciljev glede na razvoj groženj, tehnologij in mednarodnega okolja.</w:t>
      </w:r>
    </w:p>
    <w:p w14:paraId="1D59A513" w14:textId="53C8A339" w:rsidR="00D50F20" w:rsidRPr="00D2042E" w:rsidRDefault="00126A65">
      <w:pPr>
        <w:pStyle w:val="Odstavekseznama1"/>
        <w:numPr>
          <w:ilvl w:val="0"/>
          <w:numId w:val="8"/>
        </w:numPr>
      </w:pPr>
      <w:r w:rsidRPr="00D2042E">
        <w:t>Ugotovitve vaj, incidentov, ocen tveganj in mednarodnih pregledov sistematično vključevati v posodabljanje akcijskega načrta ter nadaljnje izboljševanje nacionalnega sistema kibernetske varnosti.</w:t>
      </w:r>
    </w:p>
    <w:p w14:paraId="2365B67E" w14:textId="77777777" w:rsidR="002B3CB1" w:rsidRDefault="002B3CB1">
      <w:pPr>
        <w:pStyle w:val="Odstavekseznama1"/>
      </w:pPr>
    </w:p>
    <w:p w14:paraId="531944ED" w14:textId="0C8D4A3D" w:rsidR="00D50F20" w:rsidRDefault="00126A65">
      <w:pPr>
        <w:pStyle w:val="Odstavekseznama1"/>
      </w:pPr>
      <w:r w:rsidRPr="00D2042E">
        <w:t>Celovito vmesno vrednotenje se izvede najpozneje leta 2030, zaključno vrednotenje pa ob koncu obdobja leta 2035. Ob pomembnih spremembah tveganj, tehnologij ali pristojnosti se predčasno preveri potreba po posodobitvi strategije. V vrednotenje se vključijo nosilci ukrepov ter predstavniki gospodarstva, raziskovalne skupnosti in civilne družbe.</w:t>
      </w:r>
    </w:p>
    <w:p w14:paraId="1D2C589D" w14:textId="77777777" w:rsidR="00824D75" w:rsidRPr="00D2042E" w:rsidRDefault="00824D75">
      <w:pPr>
        <w:pStyle w:val="Odstavekseznama1"/>
      </w:pPr>
    </w:p>
    <w:p w14:paraId="46774612" w14:textId="19FE8C84" w:rsidR="00D50F20" w:rsidRPr="00D2042E" w:rsidRDefault="00126A65">
      <w:pPr>
        <w:pStyle w:val="Odstavekseznama1"/>
      </w:pPr>
      <w:r w:rsidRPr="00D2042E">
        <w:t>URSIV o sprejetju strategije obvesti Evropsko komisijo v treh mesecih. Pri posredovanju in javni objavi se varujejo podatki, ki so pomembni za nacionalno varnost, in drugi varovani podatki v skladu z veljavnimi predpisi.</w:t>
      </w:r>
    </w:p>
    <w:p w14:paraId="69BCDA74" w14:textId="73357723" w:rsidR="00D50F20" w:rsidRPr="00D2042E" w:rsidRDefault="00126A65">
      <w:pPr>
        <w:pStyle w:val="Naslov2"/>
        <w:rPr>
          <w:color w:val="auto"/>
        </w:rPr>
      </w:pPr>
      <w:bookmarkStart w:id="353" w:name="_Toc241499697"/>
      <w:bookmarkStart w:id="354" w:name="_Toc241499950"/>
      <w:bookmarkStart w:id="355" w:name="_Toc241500234"/>
      <w:bookmarkStart w:id="356" w:name="_Toc242102284"/>
      <w:bookmarkStart w:id="357" w:name="_Toc242102378"/>
      <w:bookmarkStart w:id="358" w:name="_Toc242128653"/>
      <w:bookmarkStart w:id="359" w:name="_Toc242128747"/>
      <w:bookmarkStart w:id="360" w:name="_Toc242364397"/>
      <w:bookmarkStart w:id="361" w:name="_Toc242799398"/>
      <w:r w:rsidRPr="00D2042E">
        <w:rPr>
          <w:color w:val="auto"/>
        </w:rPr>
        <w:t>Zunanje merilo zrelosti</w:t>
      </w:r>
      <w:bookmarkEnd w:id="353"/>
      <w:bookmarkEnd w:id="354"/>
      <w:bookmarkEnd w:id="355"/>
      <w:bookmarkEnd w:id="356"/>
      <w:bookmarkEnd w:id="357"/>
      <w:bookmarkEnd w:id="358"/>
      <w:bookmarkEnd w:id="359"/>
      <w:bookmarkEnd w:id="360"/>
      <w:bookmarkEnd w:id="361"/>
    </w:p>
    <w:p w14:paraId="522158C3" w14:textId="251D12FD" w:rsidR="00D50F20" w:rsidRPr="00D2042E" w:rsidRDefault="00126A65">
      <w:pPr>
        <w:pStyle w:val="Navaden1"/>
        <w:spacing w:after="140" w:line="300" w:lineRule="auto"/>
        <w:rPr>
          <w:color w:val="auto"/>
        </w:rPr>
      </w:pPr>
      <w:r w:rsidRPr="00D2042E">
        <w:rPr>
          <w:color w:val="auto"/>
        </w:rPr>
        <w:t xml:space="preserve">Republika Slovenija bo poleg ključnih kazalnikov uspešnosti svojo zrelost spremljala tudi z uporabo okvira ENISA National </w:t>
      </w:r>
      <w:proofErr w:type="spellStart"/>
      <w:r w:rsidRPr="00D2042E">
        <w:rPr>
          <w:color w:val="auto"/>
        </w:rPr>
        <w:t>Capabilities</w:t>
      </w:r>
      <w:proofErr w:type="spellEnd"/>
      <w:r w:rsidRPr="00D2042E">
        <w:rPr>
          <w:color w:val="auto"/>
        </w:rPr>
        <w:t xml:space="preserve"> </w:t>
      </w:r>
      <w:proofErr w:type="spellStart"/>
      <w:r w:rsidRPr="00D2042E">
        <w:rPr>
          <w:color w:val="auto"/>
        </w:rPr>
        <w:t>Assessment</w:t>
      </w:r>
      <w:proofErr w:type="spellEnd"/>
      <w:r w:rsidRPr="00D2042E">
        <w:rPr>
          <w:color w:val="auto"/>
        </w:rPr>
        <w:t xml:space="preserve"> </w:t>
      </w:r>
      <w:proofErr w:type="spellStart"/>
      <w:r w:rsidRPr="00D2042E">
        <w:rPr>
          <w:color w:val="auto"/>
        </w:rPr>
        <w:t>Framework</w:t>
      </w:r>
      <w:proofErr w:type="spellEnd"/>
      <w:r w:rsidRPr="00D2042E">
        <w:rPr>
          <w:color w:val="auto"/>
        </w:rPr>
        <w:t xml:space="preserve"> 2.0 (okvir za ocenjevanje nacionalnih zmogljivosti), ki omogoča strukturirano samooceno nacionalnih kibernetskih zmogljivosti ter podpira primerljivo spremljanje napredka in pripravo na prostovoljne medsebojne strokovne preglede po </w:t>
      </w:r>
      <w:proofErr w:type="gramStart"/>
      <w:r w:rsidRPr="00D2042E">
        <w:rPr>
          <w:color w:val="auto"/>
        </w:rPr>
        <w:t>direktivi</w:t>
      </w:r>
      <w:proofErr w:type="gramEnd"/>
      <w:r w:rsidRPr="00D2042E">
        <w:rPr>
          <w:color w:val="auto"/>
        </w:rPr>
        <w:t xml:space="preserve"> NIS2.</w:t>
      </w:r>
    </w:p>
    <w:p w14:paraId="2C02924C" w14:textId="241DAB6B" w:rsidR="00D50F20" w:rsidRPr="00D2042E" w:rsidRDefault="00126A65">
      <w:pPr>
        <w:pStyle w:val="Navaden1"/>
        <w:spacing w:after="140" w:line="300" w:lineRule="auto"/>
        <w:rPr>
          <w:color w:val="auto"/>
          <w:sz w:val="24"/>
          <w:szCs w:val="24"/>
        </w:rPr>
      </w:pPr>
      <w:r w:rsidRPr="00D2042E">
        <w:rPr>
          <w:color w:val="auto"/>
        </w:rPr>
        <w:lastRenderedPageBreak/>
        <w:t xml:space="preserve">Kot dopolnilni kazalnik se spremljata tudi vrednost in struktura indeksa National </w:t>
      </w:r>
      <w:proofErr w:type="spellStart"/>
      <w:r w:rsidRPr="00D2042E">
        <w:rPr>
          <w:color w:val="auto"/>
        </w:rPr>
        <w:t>Cyber</w:t>
      </w:r>
      <w:proofErr w:type="spellEnd"/>
      <w:r w:rsidRPr="00D2042E">
        <w:rPr>
          <w:color w:val="auto"/>
        </w:rPr>
        <w:t xml:space="preserve"> </w:t>
      </w:r>
      <w:proofErr w:type="spellStart"/>
      <w:r w:rsidRPr="00D2042E">
        <w:rPr>
          <w:color w:val="auto"/>
        </w:rPr>
        <w:t>Security</w:t>
      </w:r>
      <w:proofErr w:type="spellEnd"/>
      <w:r w:rsidRPr="00D2042E">
        <w:rPr>
          <w:color w:val="auto"/>
        </w:rPr>
        <w:t xml:space="preserve"> Index (NCSI), ki omogoča mednarodno primerjavo nacionalnih </w:t>
      </w:r>
      <w:proofErr w:type="spellStart"/>
      <w:r w:rsidRPr="00D2042E">
        <w:rPr>
          <w:color w:val="auto"/>
        </w:rPr>
        <w:t>kibernetskovarnostnih</w:t>
      </w:r>
      <w:proofErr w:type="spellEnd"/>
      <w:r w:rsidRPr="00D2042E">
        <w:rPr>
          <w:color w:val="auto"/>
        </w:rPr>
        <w:t xml:space="preserve"> zmogljivosti na podlagi javno dostopnih dokazil in katerega spremljanje</w:t>
      </w:r>
      <w:proofErr w:type="gramStart"/>
      <w:r w:rsidRPr="00D2042E">
        <w:rPr>
          <w:color w:val="auto"/>
        </w:rPr>
        <w:t xml:space="preserve"> kot</w:t>
      </w:r>
      <w:proofErr w:type="gramEnd"/>
      <w:r w:rsidRPr="00D2042E">
        <w:rPr>
          <w:color w:val="auto"/>
        </w:rPr>
        <w:t xml:space="preserve"> kazalnik predvideva Krovna strategija digitalne preobrazbe Slovenije do leta 2030 »Digitalna Slovenija 2030«. Pri vrednotenju se upoštevajo rezultati po posameznih področjih indeksa, ne le skupna uvrstitev Republike Slovenije.</w:t>
      </w:r>
    </w:p>
    <w:p w14:paraId="3AAA2BD8" w14:textId="76C57878" w:rsidR="00D50F20" w:rsidRPr="00D2042E" w:rsidRDefault="00126A65">
      <w:pPr>
        <w:pStyle w:val="Navaden1"/>
        <w:spacing w:after="140" w:line="300" w:lineRule="auto"/>
        <w:rPr>
          <w:color w:val="auto"/>
        </w:rPr>
      </w:pPr>
      <w:r w:rsidRPr="00D2042E">
        <w:rPr>
          <w:color w:val="auto"/>
        </w:rPr>
        <w:t>Ena prvih nalog v okviru izvajanja akcijskega načrta bo ocena izhodiščnega stanja po opredeljenem okviru, na podlagi katere se bodo določile ciljne stopnje zrelosti. Pri tem se ocenijo tudi potrebni in razpoložljivi finančni ter kadrovski viri, saj je ustrezno zagotavljanje teh virov eden ključnih pogojev za doseganje načrtovanih stopenj zrelosti.</w:t>
      </w:r>
    </w:p>
    <w:p w14:paraId="0E59C9D4" w14:textId="77777777" w:rsidR="00D50F20" w:rsidRPr="00D2042E" w:rsidRDefault="00D50F20">
      <w:pPr>
        <w:pStyle w:val="Navaden1"/>
        <w:spacing w:after="140" w:line="300" w:lineRule="auto"/>
        <w:rPr>
          <w:color w:val="auto"/>
        </w:rPr>
      </w:pPr>
    </w:p>
    <w:sectPr w:rsidR="00D50F20" w:rsidRPr="00D2042E">
      <w:headerReference w:type="even" r:id="rId11"/>
      <w:headerReference w:type="default" r:id="rId12"/>
      <w:footerReference w:type="even" r:id="rId13"/>
      <w:footerReference w:type="default" r:id="rId14"/>
      <w:headerReference w:type="first" r:id="rId15"/>
      <w:footerReference w:type="first" r:id="rId16"/>
      <w:pgSz w:w="11906" w:h="16838"/>
      <w:pgMar w:top="1200" w:right="1200" w:bottom="1200" w:left="12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EFE6A" w14:textId="77777777" w:rsidR="00593FCA" w:rsidRDefault="00593FCA">
      <w:r>
        <w:separator/>
      </w:r>
    </w:p>
  </w:endnote>
  <w:endnote w:type="continuationSeparator" w:id="0">
    <w:p w14:paraId="749EAF40" w14:textId="77777777" w:rsidR="00593FCA" w:rsidRDefault="00593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4340" w14:textId="7B1E0601" w:rsidR="00D50F20" w:rsidRDefault="00126A65">
    <w:pPr>
      <w:spacing w:before="100" w:beforeAutospacing="1" w:after="100" w:afterAutospacing="1"/>
      <w:jc w:val="center"/>
      <w:rPr>
        <w:sz w:val="24"/>
        <w:szCs w:val="24"/>
      </w:rPr>
    </w:pPr>
    <w:r>
      <w:rPr>
        <w:color w:val="777777"/>
        <w:sz w:val="18"/>
        <w:szCs w:val="18"/>
      </w:rPr>
      <w:fldChar w:fldCharType="begin"/>
    </w:r>
    <w:r>
      <w:rPr>
        <w:color w:val="777777"/>
        <w:sz w:val="18"/>
        <w:szCs w:val="18"/>
      </w:rPr>
      <w:instrText>PAGE</w:instrText>
    </w:r>
    <w:r>
      <w:rPr>
        <w:color w:val="777777"/>
        <w:sz w:val="18"/>
        <w:szCs w:val="18"/>
      </w:rPr>
      <w:fldChar w:fldCharType="separate"/>
    </w:r>
    <w:r>
      <w:rPr>
        <w:noProof/>
        <w:color w:val="777777"/>
        <w:sz w:val="18"/>
        <w:szCs w:val="18"/>
      </w:rPr>
      <w:t>16</w:t>
    </w:r>
    <w:r>
      <w:rPr>
        <w:color w:val="777777"/>
        <w:sz w:val="18"/>
        <w:szCs w:val="18"/>
      </w:rPr>
      <w:fldChar w:fldCharType="end"/>
    </w:r>
  </w:p>
  <w:p w14:paraId="552B46CC" w14:textId="3D68DE1E" w:rsidR="00D50F20" w:rsidRDefault="00126A65">
    <w:pPr>
      <w:pStyle w:val="Noga"/>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B029" w14:textId="24CDEA33" w:rsidR="00D50F20" w:rsidRDefault="00126A65">
    <w:pPr>
      <w:spacing w:before="100" w:beforeAutospacing="1" w:after="100" w:afterAutospacing="1"/>
      <w:jc w:val="center"/>
      <w:rPr>
        <w:sz w:val="24"/>
        <w:szCs w:val="24"/>
      </w:rPr>
    </w:pPr>
    <w:r>
      <w:rPr>
        <w:color w:val="777777"/>
        <w:sz w:val="18"/>
        <w:szCs w:val="18"/>
      </w:rPr>
      <w:fldChar w:fldCharType="begin"/>
    </w:r>
    <w:r>
      <w:rPr>
        <w:color w:val="777777"/>
        <w:sz w:val="18"/>
        <w:szCs w:val="18"/>
      </w:rPr>
      <w:instrText>PAGE</w:instrText>
    </w:r>
    <w:r>
      <w:rPr>
        <w:color w:val="777777"/>
        <w:sz w:val="18"/>
        <w:szCs w:val="18"/>
      </w:rPr>
      <w:fldChar w:fldCharType="separate"/>
    </w:r>
    <w:r>
      <w:rPr>
        <w:noProof/>
        <w:color w:val="777777"/>
        <w:sz w:val="18"/>
        <w:szCs w:val="18"/>
      </w:rPr>
      <w:t>17</w:t>
    </w:r>
    <w:r>
      <w:rPr>
        <w:color w:val="777777"/>
        <w:sz w:val="18"/>
        <w:szCs w:val="18"/>
      </w:rPr>
      <w:fldChar w:fldCharType="end"/>
    </w:r>
  </w:p>
  <w:p w14:paraId="10F2EDC0" w14:textId="522306EF" w:rsidR="00D50F20" w:rsidRDefault="00126A65">
    <w:pPr>
      <w:jc w:val="cen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233F" w14:textId="77777777" w:rsidR="00D50F20" w:rsidRDefault="00D50F2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AC5B" w14:textId="77777777" w:rsidR="00593FCA" w:rsidRDefault="00593FCA">
      <w:r>
        <w:separator/>
      </w:r>
    </w:p>
  </w:footnote>
  <w:footnote w:type="continuationSeparator" w:id="0">
    <w:p w14:paraId="3038A8C9" w14:textId="77777777" w:rsidR="00593FCA" w:rsidRDefault="00593FCA">
      <w:r>
        <w:continuationSeparator/>
      </w:r>
    </w:p>
  </w:footnote>
  <w:footnote w:id="1">
    <w:p w14:paraId="1AFE7BD2" w14:textId="77777777" w:rsidR="00D50F20" w:rsidRDefault="00126A65">
      <w:r>
        <w:rPr>
          <w:rStyle w:val="Sprotnaopomba-sklic"/>
        </w:rPr>
        <w:footnoteRef/>
      </w:r>
      <w:r>
        <w:rPr>
          <w:sz w:val="16"/>
          <w:szCs w:val="16"/>
        </w:rPr>
        <w:t>Akcijski načrt za vsak ukrep opredeljuje odgovorni organ, sodelujoče organe, finančne in kadrovske posledice, časovnico ter ključne kazalnike uspešnosti z viri podatkov in obdobjem zajema. Akcijski načrt se po potrebi prilagodi spremembam tehnološkega, geopolitičnega in varnostnega okolja ter ugotovitvam spremljanja izvajanja strategije.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0DCC" w14:textId="77777777" w:rsidR="00D50F20" w:rsidRDefault="00D50F2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6C0E" w14:textId="77777777" w:rsidR="00D50F20" w:rsidRDefault="00D50F2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B3B8" w14:textId="77777777" w:rsidR="00D50F20" w:rsidRDefault="00D50F2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055"/>
    <w:multiLevelType w:val="multilevel"/>
    <w:tmpl w:val="BCF8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813B9"/>
    <w:multiLevelType w:val="multilevel"/>
    <w:tmpl w:val="C400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26757"/>
    <w:multiLevelType w:val="hybridMultilevel"/>
    <w:tmpl w:val="039CE164"/>
    <w:lvl w:ilvl="0" w:tplc="8ACE62D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DE5215"/>
    <w:multiLevelType w:val="hybridMultilevel"/>
    <w:tmpl w:val="99920D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BF4E1C"/>
    <w:multiLevelType w:val="multilevel"/>
    <w:tmpl w:val="B078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709FB"/>
    <w:multiLevelType w:val="multilevel"/>
    <w:tmpl w:val="00C8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62187"/>
    <w:multiLevelType w:val="hybridMultilevel"/>
    <w:tmpl w:val="E5323E30"/>
    <w:lvl w:ilvl="0" w:tplc="71BA8386">
      <w:start w:val="1"/>
      <w:numFmt w:val="bullet"/>
      <w:lvlText w:val=""/>
      <w:lvlJc w:val="left"/>
      <w:pPr>
        <w:ind w:left="720" w:hanging="360"/>
      </w:pPr>
      <w:rPr>
        <w:rFonts w:ascii="Symbol" w:hAnsi="Symbol" w:hint="default"/>
      </w:rPr>
    </w:lvl>
    <w:lvl w:ilvl="1" w:tplc="227A1B0E" w:tentative="1">
      <w:start w:val="1"/>
      <w:numFmt w:val="bullet"/>
      <w:lvlText w:val="o"/>
      <w:lvlJc w:val="left"/>
      <w:pPr>
        <w:ind w:left="1440" w:hanging="360"/>
      </w:pPr>
      <w:rPr>
        <w:rFonts w:ascii="Courier New" w:hAnsi="Courier New" w:hint="default"/>
      </w:rPr>
    </w:lvl>
    <w:lvl w:ilvl="2" w:tplc="29702E42" w:tentative="1">
      <w:start w:val="1"/>
      <w:numFmt w:val="bullet"/>
      <w:lvlText w:val=""/>
      <w:lvlJc w:val="left"/>
      <w:pPr>
        <w:ind w:left="2160" w:hanging="360"/>
      </w:pPr>
      <w:rPr>
        <w:rFonts w:ascii="Wingdings" w:hAnsi="Wingdings" w:hint="default"/>
      </w:rPr>
    </w:lvl>
    <w:lvl w:ilvl="3" w:tplc="E396900C" w:tentative="1">
      <w:start w:val="1"/>
      <w:numFmt w:val="bullet"/>
      <w:lvlText w:val=""/>
      <w:lvlJc w:val="left"/>
      <w:pPr>
        <w:ind w:left="2880" w:hanging="360"/>
      </w:pPr>
      <w:rPr>
        <w:rFonts w:ascii="Symbol" w:hAnsi="Symbol" w:hint="default"/>
      </w:rPr>
    </w:lvl>
    <w:lvl w:ilvl="4" w:tplc="9B8CF5DC" w:tentative="1">
      <w:start w:val="1"/>
      <w:numFmt w:val="bullet"/>
      <w:lvlText w:val="o"/>
      <w:lvlJc w:val="left"/>
      <w:pPr>
        <w:ind w:left="3600" w:hanging="360"/>
      </w:pPr>
      <w:rPr>
        <w:rFonts w:ascii="Courier New" w:hAnsi="Courier New" w:hint="default"/>
      </w:rPr>
    </w:lvl>
    <w:lvl w:ilvl="5" w:tplc="90CA1B84" w:tentative="1">
      <w:start w:val="1"/>
      <w:numFmt w:val="bullet"/>
      <w:lvlText w:val=""/>
      <w:lvlJc w:val="left"/>
      <w:pPr>
        <w:ind w:left="4320" w:hanging="360"/>
      </w:pPr>
      <w:rPr>
        <w:rFonts w:ascii="Wingdings" w:hAnsi="Wingdings" w:hint="default"/>
      </w:rPr>
    </w:lvl>
    <w:lvl w:ilvl="6" w:tplc="F024162C" w:tentative="1">
      <w:start w:val="1"/>
      <w:numFmt w:val="bullet"/>
      <w:lvlText w:val=""/>
      <w:lvlJc w:val="left"/>
      <w:pPr>
        <w:ind w:left="5040" w:hanging="360"/>
      </w:pPr>
      <w:rPr>
        <w:rFonts w:ascii="Symbol" w:hAnsi="Symbol" w:hint="default"/>
      </w:rPr>
    </w:lvl>
    <w:lvl w:ilvl="7" w:tplc="E7622A76" w:tentative="1">
      <w:start w:val="1"/>
      <w:numFmt w:val="bullet"/>
      <w:lvlText w:val="o"/>
      <w:lvlJc w:val="left"/>
      <w:pPr>
        <w:ind w:left="5760" w:hanging="360"/>
      </w:pPr>
      <w:rPr>
        <w:rFonts w:ascii="Courier New" w:hAnsi="Courier New" w:hint="default"/>
      </w:rPr>
    </w:lvl>
    <w:lvl w:ilvl="8" w:tplc="4AB8F5A8" w:tentative="1">
      <w:start w:val="1"/>
      <w:numFmt w:val="bullet"/>
      <w:lvlText w:val=""/>
      <w:lvlJc w:val="left"/>
      <w:pPr>
        <w:ind w:left="6480" w:hanging="360"/>
      </w:pPr>
      <w:rPr>
        <w:rFonts w:ascii="Wingdings" w:hAnsi="Wingdings" w:hint="default"/>
      </w:rPr>
    </w:lvl>
  </w:abstractNum>
  <w:abstractNum w:abstractNumId="7" w15:restartNumberingAfterBreak="0">
    <w:nsid w:val="2920794B"/>
    <w:multiLevelType w:val="hybridMultilevel"/>
    <w:tmpl w:val="B9D49458"/>
    <w:lvl w:ilvl="0" w:tplc="20E8E6DE">
      <w:start w:val="1"/>
      <w:numFmt w:val="bullet"/>
      <w:lvlText w:val="·"/>
      <w:lvlJc w:val="left"/>
      <w:pPr>
        <w:tabs>
          <w:tab w:val="num" w:pos="643"/>
        </w:tabs>
        <w:ind w:left="643" w:hanging="360"/>
      </w:pPr>
      <w:rPr>
        <w:rFonts w:ascii="Symbol" w:hAnsi="Symbol" w:hint="default"/>
        <w:sz w:val="20"/>
      </w:rPr>
    </w:lvl>
    <w:lvl w:ilvl="1" w:tplc="7DFA4474">
      <w:start w:val="1"/>
      <w:numFmt w:val="bullet"/>
      <w:lvlText w:val="o"/>
      <w:lvlJc w:val="left"/>
      <w:pPr>
        <w:tabs>
          <w:tab w:val="num" w:pos="1363"/>
        </w:tabs>
        <w:ind w:left="1363" w:hanging="360"/>
      </w:pPr>
      <w:rPr>
        <w:rFonts w:ascii="Courier New" w:hAnsi="Courier New" w:hint="default"/>
        <w:sz w:val="20"/>
      </w:rPr>
    </w:lvl>
    <w:lvl w:ilvl="2" w:tplc="ACA49F24" w:tentative="1">
      <w:start w:val="1"/>
      <w:numFmt w:val="bullet"/>
      <w:lvlText w:val=""/>
      <w:lvlJc w:val="left"/>
      <w:pPr>
        <w:tabs>
          <w:tab w:val="num" w:pos="2083"/>
        </w:tabs>
        <w:ind w:left="2083" w:hanging="360"/>
      </w:pPr>
      <w:rPr>
        <w:rFonts w:ascii="Wingdings" w:hAnsi="Wingdings" w:hint="default"/>
        <w:sz w:val="20"/>
      </w:rPr>
    </w:lvl>
    <w:lvl w:ilvl="3" w:tplc="A4B08298" w:tentative="1">
      <w:start w:val="1"/>
      <w:numFmt w:val="bullet"/>
      <w:lvlText w:val=""/>
      <w:lvlJc w:val="left"/>
      <w:pPr>
        <w:tabs>
          <w:tab w:val="num" w:pos="2803"/>
        </w:tabs>
        <w:ind w:left="2803" w:hanging="360"/>
      </w:pPr>
      <w:rPr>
        <w:rFonts w:ascii="Wingdings" w:hAnsi="Wingdings" w:hint="default"/>
        <w:sz w:val="20"/>
      </w:rPr>
    </w:lvl>
    <w:lvl w:ilvl="4" w:tplc="68445D34" w:tentative="1">
      <w:start w:val="1"/>
      <w:numFmt w:val="bullet"/>
      <w:lvlText w:val=""/>
      <w:lvlJc w:val="left"/>
      <w:pPr>
        <w:tabs>
          <w:tab w:val="num" w:pos="3523"/>
        </w:tabs>
        <w:ind w:left="3523" w:hanging="360"/>
      </w:pPr>
      <w:rPr>
        <w:rFonts w:ascii="Wingdings" w:hAnsi="Wingdings" w:hint="default"/>
        <w:sz w:val="20"/>
      </w:rPr>
    </w:lvl>
    <w:lvl w:ilvl="5" w:tplc="1D1AF5A2" w:tentative="1">
      <w:start w:val="1"/>
      <w:numFmt w:val="bullet"/>
      <w:lvlText w:val=""/>
      <w:lvlJc w:val="left"/>
      <w:pPr>
        <w:tabs>
          <w:tab w:val="num" w:pos="4243"/>
        </w:tabs>
        <w:ind w:left="4243" w:hanging="360"/>
      </w:pPr>
      <w:rPr>
        <w:rFonts w:ascii="Wingdings" w:hAnsi="Wingdings" w:hint="default"/>
        <w:sz w:val="20"/>
      </w:rPr>
    </w:lvl>
    <w:lvl w:ilvl="6" w:tplc="DFCE68F6" w:tentative="1">
      <w:start w:val="1"/>
      <w:numFmt w:val="bullet"/>
      <w:lvlText w:val=""/>
      <w:lvlJc w:val="left"/>
      <w:pPr>
        <w:tabs>
          <w:tab w:val="num" w:pos="4963"/>
        </w:tabs>
        <w:ind w:left="4963" w:hanging="360"/>
      </w:pPr>
      <w:rPr>
        <w:rFonts w:ascii="Wingdings" w:hAnsi="Wingdings" w:hint="default"/>
        <w:sz w:val="20"/>
      </w:rPr>
    </w:lvl>
    <w:lvl w:ilvl="7" w:tplc="2DD8376A" w:tentative="1">
      <w:start w:val="1"/>
      <w:numFmt w:val="bullet"/>
      <w:lvlText w:val=""/>
      <w:lvlJc w:val="left"/>
      <w:pPr>
        <w:tabs>
          <w:tab w:val="num" w:pos="5683"/>
        </w:tabs>
        <w:ind w:left="5683" w:hanging="360"/>
      </w:pPr>
      <w:rPr>
        <w:rFonts w:ascii="Wingdings" w:hAnsi="Wingdings" w:hint="default"/>
        <w:sz w:val="20"/>
      </w:rPr>
    </w:lvl>
    <w:lvl w:ilvl="8" w:tplc="64B29AF4" w:tentative="1">
      <w:start w:val="1"/>
      <w:numFmt w:val="bullet"/>
      <w:lvlText w:val=""/>
      <w:lvlJc w:val="left"/>
      <w:pPr>
        <w:tabs>
          <w:tab w:val="num" w:pos="6403"/>
        </w:tabs>
        <w:ind w:left="6403" w:hanging="360"/>
      </w:pPr>
      <w:rPr>
        <w:rFonts w:ascii="Wingdings" w:hAnsi="Wingdings" w:hint="default"/>
        <w:sz w:val="20"/>
      </w:rPr>
    </w:lvl>
  </w:abstractNum>
  <w:abstractNum w:abstractNumId="8" w15:restartNumberingAfterBreak="0">
    <w:nsid w:val="29B07C97"/>
    <w:multiLevelType w:val="multilevel"/>
    <w:tmpl w:val="0B1E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D60F7"/>
    <w:multiLevelType w:val="multilevel"/>
    <w:tmpl w:val="544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D766D"/>
    <w:multiLevelType w:val="multilevel"/>
    <w:tmpl w:val="2C92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E4B31"/>
    <w:multiLevelType w:val="multilevel"/>
    <w:tmpl w:val="C7FA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701D2"/>
    <w:multiLevelType w:val="multilevel"/>
    <w:tmpl w:val="2246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3E7C2A"/>
    <w:multiLevelType w:val="hybridMultilevel"/>
    <w:tmpl w:val="5B1CD472"/>
    <w:lvl w:ilvl="0" w:tplc="FFFFFFFF">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4" w15:restartNumberingAfterBreak="0">
    <w:nsid w:val="30475775"/>
    <w:multiLevelType w:val="hybridMultilevel"/>
    <w:tmpl w:val="C590D30E"/>
    <w:lvl w:ilvl="0" w:tplc="62CEEA8C">
      <w:start w:val="1"/>
      <w:numFmt w:val="decimal"/>
      <w:lvlText w:val="%1."/>
      <w:lvlJc w:val="left"/>
      <w:pPr>
        <w:ind w:left="643" w:hanging="360"/>
      </w:pPr>
    </w:lvl>
    <w:lvl w:ilvl="1" w:tplc="C37C0362">
      <w:numFmt w:val="decimal"/>
      <w:lvlText w:val=""/>
      <w:lvlJc w:val="left"/>
    </w:lvl>
    <w:lvl w:ilvl="2" w:tplc="0562EADA">
      <w:numFmt w:val="decimal"/>
      <w:lvlText w:val=""/>
      <w:lvlJc w:val="left"/>
    </w:lvl>
    <w:lvl w:ilvl="3" w:tplc="55227270">
      <w:numFmt w:val="decimal"/>
      <w:lvlText w:val=""/>
      <w:lvlJc w:val="left"/>
    </w:lvl>
    <w:lvl w:ilvl="4" w:tplc="8B36387A">
      <w:numFmt w:val="decimal"/>
      <w:lvlText w:val=""/>
      <w:lvlJc w:val="left"/>
    </w:lvl>
    <w:lvl w:ilvl="5" w:tplc="EF9CD49E">
      <w:numFmt w:val="decimal"/>
      <w:lvlText w:val=""/>
      <w:lvlJc w:val="left"/>
    </w:lvl>
    <w:lvl w:ilvl="6" w:tplc="4582EB7A">
      <w:numFmt w:val="decimal"/>
      <w:lvlText w:val=""/>
      <w:lvlJc w:val="left"/>
    </w:lvl>
    <w:lvl w:ilvl="7" w:tplc="2CDC6DCC">
      <w:numFmt w:val="decimal"/>
      <w:lvlText w:val=""/>
      <w:lvlJc w:val="left"/>
    </w:lvl>
    <w:lvl w:ilvl="8" w:tplc="BAD293D4">
      <w:numFmt w:val="decimal"/>
      <w:lvlText w:val=""/>
      <w:lvlJc w:val="left"/>
    </w:lvl>
  </w:abstractNum>
  <w:abstractNum w:abstractNumId="15" w15:restartNumberingAfterBreak="0">
    <w:nsid w:val="3C276FA6"/>
    <w:multiLevelType w:val="multilevel"/>
    <w:tmpl w:val="F9D2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C4995"/>
    <w:multiLevelType w:val="multilevel"/>
    <w:tmpl w:val="25C2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2141AD"/>
    <w:multiLevelType w:val="multilevel"/>
    <w:tmpl w:val="B2BC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56098A"/>
    <w:multiLevelType w:val="hybridMultilevel"/>
    <w:tmpl w:val="60F29424"/>
    <w:lvl w:ilvl="0" w:tplc="8ACE62D6">
      <w:numFmt w:val="bullet"/>
      <w:lvlText w:val="•"/>
      <w:lvlJc w:val="left"/>
      <w:pPr>
        <w:ind w:left="785" w:hanging="360"/>
      </w:pPr>
      <w:rPr>
        <w:rFonts w:ascii="Calibri" w:eastAsia="Calibri" w:hAnsi="Calibri" w:cs="Calibri"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9" w15:restartNumberingAfterBreak="0">
    <w:nsid w:val="443279D7"/>
    <w:multiLevelType w:val="multilevel"/>
    <w:tmpl w:val="DFCE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DE196C"/>
    <w:multiLevelType w:val="multilevel"/>
    <w:tmpl w:val="E284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B022E"/>
    <w:multiLevelType w:val="hybridMultilevel"/>
    <w:tmpl w:val="BAD4F5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94E714C"/>
    <w:multiLevelType w:val="multilevel"/>
    <w:tmpl w:val="9C68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B634D3"/>
    <w:multiLevelType w:val="hybridMultilevel"/>
    <w:tmpl w:val="A56A459E"/>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4" w15:restartNumberingAfterBreak="0">
    <w:nsid w:val="52473C34"/>
    <w:multiLevelType w:val="multilevel"/>
    <w:tmpl w:val="9CE6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A339AA"/>
    <w:multiLevelType w:val="multilevel"/>
    <w:tmpl w:val="F8A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17149"/>
    <w:multiLevelType w:val="multilevel"/>
    <w:tmpl w:val="9AB6A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432A12"/>
    <w:multiLevelType w:val="multilevel"/>
    <w:tmpl w:val="5B4A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81868"/>
    <w:multiLevelType w:val="multilevel"/>
    <w:tmpl w:val="0BAAC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0065B8"/>
    <w:multiLevelType w:val="multilevel"/>
    <w:tmpl w:val="0408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245DB1"/>
    <w:multiLevelType w:val="multilevel"/>
    <w:tmpl w:val="12C4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AE7B3B"/>
    <w:multiLevelType w:val="hybridMultilevel"/>
    <w:tmpl w:val="56A4546E"/>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035BFF"/>
    <w:multiLevelType w:val="hybridMultilevel"/>
    <w:tmpl w:val="09E040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A790278"/>
    <w:multiLevelType w:val="multilevel"/>
    <w:tmpl w:val="DBA8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B7FCF"/>
    <w:multiLevelType w:val="multilevel"/>
    <w:tmpl w:val="1C84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60236A"/>
    <w:multiLevelType w:val="multilevel"/>
    <w:tmpl w:val="911A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9759C7"/>
    <w:multiLevelType w:val="hybridMultilevel"/>
    <w:tmpl w:val="C1D23CB0"/>
    <w:lvl w:ilvl="0" w:tplc="EFCACF70">
      <w:start w:val="1"/>
      <w:numFmt w:val="bullet"/>
      <w:lvlText w:val="●"/>
      <w:lvlJc w:val="left"/>
      <w:pPr>
        <w:ind w:left="785" w:hanging="360"/>
      </w:pPr>
      <w:rPr>
        <w:rFonts w:hint="default"/>
      </w:rPr>
    </w:lvl>
    <w:lvl w:ilvl="1" w:tplc="903CC92C">
      <w:start w:val="1"/>
      <w:numFmt w:val="bullet"/>
      <w:lvlText w:val="○"/>
      <w:lvlJc w:val="left"/>
      <w:pPr>
        <w:ind w:left="1440" w:hanging="360"/>
      </w:pPr>
    </w:lvl>
    <w:lvl w:ilvl="2" w:tplc="5C1AA4B4">
      <w:start w:val="1"/>
      <w:numFmt w:val="bullet"/>
      <w:lvlText w:val="■"/>
      <w:lvlJc w:val="left"/>
      <w:pPr>
        <w:ind w:left="2160" w:hanging="360"/>
      </w:pPr>
    </w:lvl>
    <w:lvl w:ilvl="3" w:tplc="2938C53E">
      <w:start w:val="1"/>
      <w:numFmt w:val="bullet"/>
      <w:lvlText w:val="●"/>
      <w:lvlJc w:val="left"/>
      <w:pPr>
        <w:ind w:left="2880" w:hanging="360"/>
      </w:pPr>
    </w:lvl>
    <w:lvl w:ilvl="4" w:tplc="835E1DB4">
      <w:start w:val="1"/>
      <w:numFmt w:val="bullet"/>
      <w:lvlText w:val="○"/>
      <w:lvlJc w:val="left"/>
      <w:pPr>
        <w:ind w:left="3600" w:hanging="360"/>
      </w:pPr>
    </w:lvl>
    <w:lvl w:ilvl="5" w:tplc="FE12AD44">
      <w:start w:val="1"/>
      <w:numFmt w:val="bullet"/>
      <w:lvlText w:val="■"/>
      <w:lvlJc w:val="left"/>
      <w:pPr>
        <w:ind w:left="4320" w:hanging="360"/>
      </w:pPr>
    </w:lvl>
    <w:lvl w:ilvl="6" w:tplc="99F2544E">
      <w:start w:val="1"/>
      <w:numFmt w:val="bullet"/>
      <w:lvlText w:val="●"/>
      <w:lvlJc w:val="left"/>
      <w:pPr>
        <w:ind w:left="5040" w:hanging="360"/>
      </w:pPr>
    </w:lvl>
    <w:lvl w:ilvl="7" w:tplc="CBE0CEDA">
      <w:start w:val="1"/>
      <w:numFmt w:val="bullet"/>
      <w:lvlText w:val="●"/>
      <w:lvlJc w:val="left"/>
      <w:pPr>
        <w:ind w:left="5760" w:hanging="360"/>
      </w:pPr>
    </w:lvl>
    <w:lvl w:ilvl="8" w:tplc="FA1E02D2">
      <w:start w:val="1"/>
      <w:numFmt w:val="bullet"/>
      <w:lvlText w:val="●"/>
      <w:lvlJc w:val="left"/>
      <w:pPr>
        <w:ind w:left="6480" w:hanging="360"/>
      </w:pPr>
    </w:lvl>
  </w:abstractNum>
  <w:abstractNum w:abstractNumId="37" w15:restartNumberingAfterBreak="0">
    <w:nsid w:val="73CA5BE2"/>
    <w:multiLevelType w:val="multilevel"/>
    <w:tmpl w:val="75D8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DB7687"/>
    <w:multiLevelType w:val="multilevel"/>
    <w:tmpl w:val="D61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082B74"/>
    <w:multiLevelType w:val="multilevel"/>
    <w:tmpl w:val="5B7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102511">
    <w:abstractNumId w:val="36"/>
  </w:num>
  <w:num w:numId="2" w16cid:durableId="1216164291">
    <w:abstractNumId w:val="14"/>
    <w:lvlOverride w:ilvl="0">
      <w:startOverride w:val="1"/>
    </w:lvlOverride>
  </w:num>
  <w:num w:numId="3" w16cid:durableId="1679577408">
    <w:abstractNumId w:val="7"/>
  </w:num>
  <w:num w:numId="4" w16cid:durableId="1225410438">
    <w:abstractNumId w:val="31"/>
  </w:num>
  <w:num w:numId="5" w16cid:durableId="1751924628">
    <w:abstractNumId w:val="21"/>
  </w:num>
  <w:num w:numId="6" w16cid:durableId="1762289666">
    <w:abstractNumId w:val="23"/>
  </w:num>
  <w:num w:numId="7" w16cid:durableId="991563347">
    <w:abstractNumId w:val="13"/>
  </w:num>
  <w:num w:numId="8" w16cid:durableId="127672238">
    <w:abstractNumId w:val="3"/>
  </w:num>
  <w:num w:numId="9" w16cid:durableId="1103453347">
    <w:abstractNumId w:val="6"/>
  </w:num>
  <w:num w:numId="10" w16cid:durableId="1010837684">
    <w:abstractNumId w:val="19"/>
  </w:num>
  <w:num w:numId="11" w16cid:durableId="1968582073">
    <w:abstractNumId w:val="12"/>
  </w:num>
  <w:num w:numId="12" w16cid:durableId="1540825743">
    <w:abstractNumId w:val="15"/>
  </w:num>
  <w:num w:numId="13" w16cid:durableId="2010130499">
    <w:abstractNumId w:val="38"/>
  </w:num>
  <w:num w:numId="14" w16cid:durableId="210307346">
    <w:abstractNumId w:val="28"/>
  </w:num>
  <w:num w:numId="15" w16cid:durableId="462164137">
    <w:abstractNumId w:val="2"/>
  </w:num>
  <w:num w:numId="16" w16cid:durableId="1967588346">
    <w:abstractNumId w:val="18"/>
  </w:num>
  <w:num w:numId="17" w16cid:durableId="916326299">
    <w:abstractNumId w:val="32"/>
  </w:num>
  <w:num w:numId="18" w16cid:durableId="2041393695">
    <w:abstractNumId w:val="35"/>
  </w:num>
  <w:num w:numId="19" w16cid:durableId="183137730">
    <w:abstractNumId w:val="0"/>
  </w:num>
  <w:num w:numId="20" w16cid:durableId="623730788">
    <w:abstractNumId w:val="24"/>
  </w:num>
  <w:num w:numId="21" w16cid:durableId="1079908869">
    <w:abstractNumId w:val="8"/>
  </w:num>
  <w:num w:numId="22" w16cid:durableId="254241676">
    <w:abstractNumId w:val="10"/>
  </w:num>
  <w:num w:numId="23" w16cid:durableId="412625793">
    <w:abstractNumId w:val="20"/>
  </w:num>
  <w:num w:numId="24" w16cid:durableId="2071685966">
    <w:abstractNumId w:val="25"/>
  </w:num>
  <w:num w:numId="25" w16cid:durableId="983238332">
    <w:abstractNumId w:val="30"/>
  </w:num>
  <w:num w:numId="26" w16cid:durableId="1065447193">
    <w:abstractNumId w:val="16"/>
  </w:num>
  <w:num w:numId="27" w16cid:durableId="714936707">
    <w:abstractNumId w:val="11"/>
  </w:num>
  <w:num w:numId="28" w16cid:durableId="916135877">
    <w:abstractNumId w:val="22"/>
  </w:num>
  <w:num w:numId="29" w16cid:durableId="957643670">
    <w:abstractNumId w:val="26"/>
  </w:num>
  <w:num w:numId="30" w16cid:durableId="1519076815">
    <w:abstractNumId w:val="37"/>
  </w:num>
  <w:num w:numId="31" w16cid:durableId="1173489131">
    <w:abstractNumId w:val="14"/>
  </w:num>
  <w:num w:numId="32" w16cid:durableId="1781560864">
    <w:abstractNumId w:val="39"/>
  </w:num>
  <w:num w:numId="33" w16cid:durableId="1273584640">
    <w:abstractNumId w:val="33"/>
  </w:num>
  <w:num w:numId="34" w16cid:durableId="1943612757">
    <w:abstractNumId w:val="34"/>
  </w:num>
  <w:num w:numId="35" w16cid:durableId="1234658757">
    <w:abstractNumId w:val="4"/>
  </w:num>
  <w:num w:numId="36" w16cid:durableId="1186675827">
    <w:abstractNumId w:val="29"/>
  </w:num>
  <w:num w:numId="37" w16cid:durableId="680088250">
    <w:abstractNumId w:val="17"/>
  </w:num>
  <w:num w:numId="38" w16cid:durableId="1190021913">
    <w:abstractNumId w:val="5"/>
  </w:num>
  <w:num w:numId="39" w16cid:durableId="435368837">
    <w:abstractNumId w:val="9"/>
  </w:num>
  <w:num w:numId="40" w16cid:durableId="1032651261">
    <w:abstractNumId w:val="27"/>
  </w:num>
  <w:num w:numId="41" w16cid:durableId="845560957">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A97"/>
    <w:rsid w:val="0000343F"/>
    <w:rsid w:val="00003A6F"/>
    <w:rsid w:val="00003F5D"/>
    <w:rsid w:val="000059A7"/>
    <w:rsid w:val="00010014"/>
    <w:rsid w:val="00011D6C"/>
    <w:rsid w:val="000238EE"/>
    <w:rsid w:val="00025BEA"/>
    <w:rsid w:val="0004240F"/>
    <w:rsid w:val="0004682B"/>
    <w:rsid w:val="000520DC"/>
    <w:rsid w:val="000530B6"/>
    <w:rsid w:val="00071B26"/>
    <w:rsid w:val="000724AB"/>
    <w:rsid w:val="00072E95"/>
    <w:rsid w:val="00074A19"/>
    <w:rsid w:val="000755B5"/>
    <w:rsid w:val="000801D3"/>
    <w:rsid w:val="000815DB"/>
    <w:rsid w:val="00082428"/>
    <w:rsid w:val="00082C6D"/>
    <w:rsid w:val="00085FEC"/>
    <w:rsid w:val="000864B7"/>
    <w:rsid w:val="000923AF"/>
    <w:rsid w:val="00094CC7"/>
    <w:rsid w:val="000A257F"/>
    <w:rsid w:val="000B07D1"/>
    <w:rsid w:val="000B4E37"/>
    <w:rsid w:val="000B522A"/>
    <w:rsid w:val="000B5683"/>
    <w:rsid w:val="000C136E"/>
    <w:rsid w:val="000C32CF"/>
    <w:rsid w:val="000C4720"/>
    <w:rsid w:val="000C622C"/>
    <w:rsid w:val="000D1D14"/>
    <w:rsid w:val="001023B0"/>
    <w:rsid w:val="00103C48"/>
    <w:rsid w:val="00107818"/>
    <w:rsid w:val="00112F4A"/>
    <w:rsid w:val="0011586F"/>
    <w:rsid w:val="00116E9F"/>
    <w:rsid w:val="0011751C"/>
    <w:rsid w:val="00121280"/>
    <w:rsid w:val="001227A0"/>
    <w:rsid w:val="00123091"/>
    <w:rsid w:val="001249E2"/>
    <w:rsid w:val="00126A65"/>
    <w:rsid w:val="00136D64"/>
    <w:rsid w:val="00137BDE"/>
    <w:rsid w:val="00142D17"/>
    <w:rsid w:val="00147851"/>
    <w:rsid w:val="00151B73"/>
    <w:rsid w:val="00155F2E"/>
    <w:rsid w:val="00160B6A"/>
    <w:rsid w:val="00165C23"/>
    <w:rsid w:val="00171E66"/>
    <w:rsid w:val="00175572"/>
    <w:rsid w:val="00175663"/>
    <w:rsid w:val="00176964"/>
    <w:rsid w:val="00176A22"/>
    <w:rsid w:val="0018727C"/>
    <w:rsid w:val="001A6EC0"/>
    <w:rsid w:val="001A79D5"/>
    <w:rsid w:val="001B39E1"/>
    <w:rsid w:val="001B65B4"/>
    <w:rsid w:val="001B6D8D"/>
    <w:rsid w:val="001C07BB"/>
    <w:rsid w:val="001C5183"/>
    <w:rsid w:val="001C6FB1"/>
    <w:rsid w:val="001C72A1"/>
    <w:rsid w:val="001D0D1D"/>
    <w:rsid w:val="001D498C"/>
    <w:rsid w:val="001D7F2E"/>
    <w:rsid w:val="001E3228"/>
    <w:rsid w:val="001E60E3"/>
    <w:rsid w:val="001F2209"/>
    <w:rsid w:val="001F6665"/>
    <w:rsid w:val="00200D3F"/>
    <w:rsid w:val="002052AC"/>
    <w:rsid w:val="0020550E"/>
    <w:rsid w:val="00205B8E"/>
    <w:rsid w:val="00206359"/>
    <w:rsid w:val="002063FA"/>
    <w:rsid w:val="00212441"/>
    <w:rsid w:val="0022151F"/>
    <w:rsid w:val="002223E3"/>
    <w:rsid w:val="00224BFC"/>
    <w:rsid w:val="002335BA"/>
    <w:rsid w:val="00234A6D"/>
    <w:rsid w:val="00235B00"/>
    <w:rsid w:val="0023653A"/>
    <w:rsid w:val="00247582"/>
    <w:rsid w:val="00254C23"/>
    <w:rsid w:val="00254F3E"/>
    <w:rsid w:val="00255698"/>
    <w:rsid w:val="00255CBC"/>
    <w:rsid w:val="0026012A"/>
    <w:rsid w:val="00261C09"/>
    <w:rsid w:val="002638DF"/>
    <w:rsid w:val="00264F95"/>
    <w:rsid w:val="00265126"/>
    <w:rsid w:val="00267B6C"/>
    <w:rsid w:val="002723FF"/>
    <w:rsid w:val="0027616D"/>
    <w:rsid w:val="00281114"/>
    <w:rsid w:val="00286C1F"/>
    <w:rsid w:val="00295744"/>
    <w:rsid w:val="00296E82"/>
    <w:rsid w:val="002A5086"/>
    <w:rsid w:val="002A756A"/>
    <w:rsid w:val="002B02D5"/>
    <w:rsid w:val="002B2BDE"/>
    <w:rsid w:val="002B3CB1"/>
    <w:rsid w:val="002B5712"/>
    <w:rsid w:val="002C1ADD"/>
    <w:rsid w:val="002C2192"/>
    <w:rsid w:val="002C2C0E"/>
    <w:rsid w:val="002D4984"/>
    <w:rsid w:val="002E01C3"/>
    <w:rsid w:val="002E1901"/>
    <w:rsid w:val="002F24CA"/>
    <w:rsid w:val="002F6A83"/>
    <w:rsid w:val="00300C22"/>
    <w:rsid w:val="00312BAC"/>
    <w:rsid w:val="00313655"/>
    <w:rsid w:val="0031798B"/>
    <w:rsid w:val="00342E35"/>
    <w:rsid w:val="003503BF"/>
    <w:rsid w:val="0035055E"/>
    <w:rsid w:val="003521B4"/>
    <w:rsid w:val="003527F8"/>
    <w:rsid w:val="0035294D"/>
    <w:rsid w:val="00353CEF"/>
    <w:rsid w:val="00355A80"/>
    <w:rsid w:val="0035757E"/>
    <w:rsid w:val="00357E42"/>
    <w:rsid w:val="0036116B"/>
    <w:rsid w:val="00361901"/>
    <w:rsid w:val="00364F66"/>
    <w:rsid w:val="00370A58"/>
    <w:rsid w:val="003722AB"/>
    <w:rsid w:val="0038046D"/>
    <w:rsid w:val="00380E88"/>
    <w:rsid w:val="0038293B"/>
    <w:rsid w:val="0038691C"/>
    <w:rsid w:val="00391BF4"/>
    <w:rsid w:val="00392921"/>
    <w:rsid w:val="00394031"/>
    <w:rsid w:val="0039464C"/>
    <w:rsid w:val="00397F11"/>
    <w:rsid w:val="003A1764"/>
    <w:rsid w:val="003A6872"/>
    <w:rsid w:val="003A77D2"/>
    <w:rsid w:val="003B219C"/>
    <w:rsid w:val="003B50BC"/>
    <w:rsid w:val="003C556E"/>
    <w:rsid w:val="003C6243"/>
    <w:rsid w:val="003C755E"/>
    <w:rsid w:val="003D5547"/>
    <w:rsid w:val="003D7612"/>
    <w:rsid w:val="003E000A"/>
    <w:rsid w:val="003E2322"/>
    <w:rsid w:val="003E6023"/>
    <w:rsid w:val="003E6171"/>
    <w:rsid w:val="003F10C6"/>
    <w:rsid w:val="003F2A6C"/>
    <w:rsid w:val="003F556D"/>
    <w:rsid w:val="003F72E3"/>
    <w:rsid w:val="003F76FB"/>
    <w:rsid w:val="004004FE"/>
    <w:rsid w:val="00400EA2"/>
    <w:rsid w:val="00401D4F"/>
    <w:rsid w:val="004029D3"/>
    <w:rsid w:val="0041487E"/>
    <w:rsid w:val="0041588E"/>
    <w:rsid w:val="004170DA"/>
    <w:rsid w:val="00420C69"/>
    <w:rsid w:val="00421541"/>
    <w:rsid w:val="004222A4"/>
    <w:rsid w:val="004237AC"/>
    <w:rsid w:val="00430354"/>
    <w:rsid w:val="0044373B"/>
    <w:rsid w:val="004529E9"/>
    <w:rsid w:val="00454DD8"/>
    <w:rsid w:val="0045779F"/>
    <w:rsid w:val="004607B6"/>
    <w:rsid w:val="0046153F"/>
    <w:rsid w:val="00465F0B"/>
    <w:rsid w:val="00471AF3"/>
    <w:rsid w:val="00474EC0"/>
    <w:rsid w:val="004815F7"/>
    <w:rsid w:val="004837E8"/>
    <w:rsid w:val="00484B18"/>
    <w:rsid w:val="00487F57"/>
    <w:rsid w:val="0049040C"/>
    <w:rsid w:val="0049543B"/>
    <w:rsid w:val="00495DF9"/>
    <w:rsid w:val="0049771C"/>
    <w:rsid w:val="00497AE5"/>
    <w:rsid w:val="004A5319"/>
    <w:rsid w:val="004A592C"/>
    <w:rsid w:val="004AD451"/>
    <w:rsid w:val="004B3FD5"/>
    <w:rsid w:val="004B5C9B"/>
    <w:rsid w:val="004B7AED"/>
    <w:rsid w:val="004C4C84"/>
    <w:rsid w:val="004C5BEF"/>
    <w:rsid w:val="004C72AB"/>
    <w:rsid w:val="004D16F2"/>
    <w:rsid w:val="004D61B8"/>
    <w:rsid w:val="004E63C4"/>
    <w:rsid w:val="004E6CA7"/>
    <w:rsid w:val="004E7255"/>
    <w:rsid w:val="004F16BF"/>
    <w:rsid w:val="004F34BF"/>
    <w:rsid w:val="004F4AE1"/>
    <w:rsid w:val="004F786C"/>
    <w:rsid w:val="00505C1A"/>
    <w:rsid w:val="005063C1"/>
    <w:rsid w:val="00512FD2"/>
    <w:rsid w:val="005168BA"/>
    <w:rsid w:val="00526D8F"/>
    <w:rsid w:val="0053141D"/>
    <w:rsid w:val="0053493A"/>
    <w:rsid w:val="00544C3E"/>
    <w:rsid w:val="00545D11"/>
    <w:rsid w:val="005522D6"/>
    <w:rsid w:val="005629FB"/>
    <w:rsid w:val="00563B75"/>
    <w:rsid w:val="00565EE5"/>
    <w:rsid w:val="00581B7D"/>
    <w:rsid w:val="00586D7F"/>
    <w:rsid w:val="00587FA0"/>
    <w:rsid w:val="0059109E"/>
    <w:rsid w:val="00593FCA"/>
    <w:rsid w:val="005956FA"/>
    <w:rsid w:val="005970EF"/>
    <w:rsid w:val="005A0C6A"/>
    <w:rsid w:val="005A1CDA"/>
    <w:rsid w:val="005A22A4"/>
    <w:rsid w:val="005A3E5D"/>
    <w:rsid w:val="005A5364"/>
    <w:rsid w:val="005B1164"/>
    <w:rsid w:val="005B3A28"/>
    <w:rsid w:val="005B6AA0"/>
    <w:rsid w:val="005C376E"/>
    <w:rsid w:val="005C4C0D"/>
    <w:rsid w:val="005C632E"/>
    <w:rsid w:val="005C6602"/>
    <w:rsid w:val="005C7E2C"/>
    <w:rsid w:val="005D2D2A"/>
    <w:rsid w:val="005D31E3"/>
    <w:rsid w:val="005D325B"/>
    <w:rsid w:val="005D5986"/>
    <w:rsid w:val="005D6A84"/>
    <w:rsid w:val="005E2EFF"/>
    <w:rsid w:val="005E36F8"/>
    <w:rsid w:val="005E39FA"/>
    <w:rsid w:val="005E5772"/>
    <w:rsid w:val="005E7154"/>
    <w:rsid w:val="00601BD4"/>
    <w:rsid w:val="00607132"/>
    <w:rsid w:val="0060740A"/>
    <w:rsid w:val="006152C1"/>
    <w:rsid w:val="00615D9F"/>
    <w:rsid w:val="0062254C"/>
    <w:rsid w:val="00623AC6"/>
    <w:rsid w:val="00624255"/>
    <w:rsid w:val="006318E5"/>
    <w:rsid w:val="0064626B"/>
    <w:rsid w:val="00653993"/>
    <w:rsid w:val="006557BC"/>
    <w:rsid w:val="006672A6"/>
    <w:rsid w:val="006710F7"/>
    <w:rsid w:val="00676CE4"/>
    <w:rsid w:val="00682150"/>
    <w:rsid w:val="0069093C"/>
    <w:rsid w:val="006914C4"/>
    <w:rsid w:val="00691C66"/>
    <w:rsid w:val="006933CA"/>
    <w:rsid w:val="0069450C"/>
    <w:rsid w:val="00694C36"/>
    <w:rsid w:val="00696E59"/>
    <w:rsid w:val="006A1280"/>
    <w:rsid w:val="006A1A94"/>
    <w:rsid w:val="006A25DE"/>
    <w:rsid w:val="006B2A8C"/>
    <w:rsid w:val="006D17D5"/>
    <w:rsid w:val="006E3C82"/>
    <w:rsid w:val="006F1594"/>
    <w:rsid w:val="006F3FFB"/>
    <w:rsid w:val="006F5810"/>
    <w:rsid w:val="007003D5"/>
    <w:rsid w:val="00700482"/>
    <w:rsid w:val="00700A9D"/>
    <w:rsid w:val="0070554F"/>
    <w:rsid w:val="00706BE2"/>
    <w:rsid w:val="00706C91"/>
    <w:rsid w:val="007109A7"/>
    <w:rsid w:val="007123F2"/>
    <w:rsid w:val="00715B19"/>
    <w:rsid w:val="00720103"/>
    <w:rsid w:val="0072308B"/>
    <w:rsid w:val="007245DD"/>
    <w:rsid w:val="0072726B"/>
    <w:rsid w:val="0075057A"/>
    <w:rsid w:val="00752354"/>
    <w:rsid w:val="00763270"/>
    <w:rsid w:val="00773E57"/>
    <w:rsid w:val="00790120"/>
    <w:rsid w:val="007934A1"/>
    <w:rsid w:val="00793506"/>
    <w:rsid w:val="00793B6B"/>
    <w:rsid w:val="007A0B85"/>
    <w:rsid w:val="007A6DCA"/>
    <w:rsid w:val="007B007E"/>
    <w:rsid w:val="007B02D5"/>
    <w:rsid w:val="007B4A77"/>
    <w:rsid w:val="007B6931"/>
    <w:rsid w:val="007B6F9B"/>
    <w:rsid w:val="007C14CE"/>
    <w:rsid w:val="007C2FDE"/>
    <w:rsid w:val="007C38F8"/>
    <w:rsid w:val="007C390F"/>
    <w:rsid w:val="007D05FE"/>
    <w:rsid w:val="007E05C4"/>
    <w:rsid w:val="007E2FE7"/>
    <w:rsid w:val="007E54E7"/>
    <w:rsid w:val="007F5D91"/>
    <w:rsid w:val="007F79E6"/>
    <w:rsid w:val="008022BA"/>
    <w:rsid w:val="00804FF3"/>
    <w:rsid w:val="00805968"/>
    <w:rsid w:val="00805C29"/>
    <w:rsid w:val="0080795A"/>
    <w:rsid w:val="0081413C"/>
    <w:rsid w:val="00814DD3"/>
    <w:rsid w:val="008172A1"/>
    <w:rsid w:val="00821336"/>
    <w:rsid w:val="00824D75"/>
    <w:rsid w:val="00833BFF"/>
    <w:rsid w:val="00835584"/>
    <w:rsid w:val="00842891"/>
    <w:rsid w:val="00845E32"/>
    <w:rsid w:val="00855BD7"/>
    <w:rsid w:val="00856CE0"/>
    <w:rsid w:val="00862DD3"/>
    <w:rsid w:val="00867943"/>
    <w:rsid w:val="00867A43"/>
    <w:rsid w:val="00871A6A"/>
    <w:rsid w:val="00871F61"/>
    <w:rsid w:val="00872E76"/>
    <w:rsid w:val="00876113"/>
    <w:rsid w:val="0088392B"/>
    <w:rsid w:val="008A3CDB"/>
    <w:rsid w:val="008A4E6B"/>
    <w:rsid w:val="008B0F44"/>
    <w:rsid w:val="008B5D55"/>
    <w:rsid w:val="008B6258"/>
    <w:rsid w:val="008B6AB1"/>
    <w:rsid w:val="008B6F84"/>
    <w:rsid w:val="008C00A5"/>
    <w:rsid w:val="008C1CDF"/>
    <w:rsid w:val="008C70BF"/>
    <w:rsid w:val="008D4DAF"/>
    <w:rsid w:val="008E36D9"/>
    <w:rsid w:val="008E39A4"/>
    <w:rsid w:val="008F0203"/>
    <w:rsid w:val="008F2966"/>
    <w:rsid w:val="008F7D87"/>
    <w:rsid w:val="0090210E"/>
    <w:rsid w:val="00902DAF"/>
    <w:rsid w:val="00903594"/>
    <w:rsid w:val="009131FC"/>
    <w:rsid w:val="009134C9"/>
    <w:rsid w:val="00913612"/>
    <w:rsid w:val="00914BD7"/>
    <w:rsid w:val="00917D3C"/>
    <w:rsid w:val="00930109"/>
    <w:rsid w:val="00930729"/>
    <w:rsid w:val="00944683"/>
    <w:rsid w:val="00960BB8"/>
    <w:rsid w:val="00970164"/>
    <w:rsid w:val="00983A9A"/>
    <w:rsid w:val="009843D1"/>
    <w:rsid w:val="00991CCA"/>
    <w:rsid w:val="00991DFF"/>
    <w:rsid w:val="00992B94"/>
    <w:rsid w:val="00993ACB"/>
    <w:rsid w:val="00994540"/>
    <w:rsid w:val="00996DE5"/>
    <w:rsid w:val="009A6997"/>
    <w:rsid w:val="009B1715"/>
    <w:rsid w:val="009C12CD"/>
    <w:rsid w:val="009C5248"/>
    <w:rsid w:val="009C5935"/>
    <w:rsid w:val="009D28A4"/>
    <w:rsid w:val="009D6FED"/>
    <w:rsid w:val="009E4E92"/>
    <w:rsid w:val="009F2E49"/>
    <w:rsid w:val="009F49D7"/>
    <w:rsid w:val="009F4CF3"/>
    <w:rsid w:val="009F7035"/>
    <w:rsid w:val="009F7E47"/>
    <w:rsid w:val="00A0019F"/>
    <w:rsid w:val="00A06C67"/>
    <w:rsid w:val="00A15CD6"/>
    <w:rsid w:val="00A20D13"/>
    <w:rsid w:val="00A22B02"/>
    <w:rsid w:val="00A27494"/>
    <w:rsid w:val="00A32B42"/>
    <w:rsid w:val="00A36A4E"/>
    <w:rsid w:val="00A45A08"/>
    <w:rsid w:val="00A46ED9"/>
    <w:rsid w:val="00A5080A"/>
    <w:rsid w:val="00A51D3D"/>
    <w:rsid w:val="00A52C2F"/>
    <w:rsid w:val="00A61013"/>
    <w:rsid w:val="00A65CB2"/>
    <w:rsid w:val="00A672F2"/>
    <w:rsid w:val="00A70C71"/>
    <w:rsid w:val="00A724C6"/>
    <w:rsid w:val="00A72573"/>
    <w:rsid w:val="00A73868"/>
    <w:rsid w:val="00A744C0"/>
    <w:rsid w:val="00A86B1F"/>
    <w:rsid w:val="00A86C33"/>
    <w:rsid w:val="00A86E5B"/>
    <w:rsid w:val="00A9529A"/>
    <w:rsid w:val="00AA4FE0"/>
    <w:rsid w:val="00AB5446"/>
    <w:rsid w:val="00AC5790"/>
    <w:rsid w:val="00AD549F"/>
    <w:rsid w:val="00AD5E65"/>
    <w:rsid w:val="00AE092B"/>
    <w:rsid w:val="00AE1111"/>
    <w:rsid w:val="00AE13C6"/>
    <w:rsid w:val="00AE284E"/>
    <w:rsid w:val="00AE3E0A"/>
    <w:rsid w:val="00AE4AAD"/>
    <w:rsid w:val="00AF0AD0"/>
    <w:rsid w:val="00AF1542"/>
    <w:rsid w:val="00AF4DE9"/>
    <w:rsid w:val="00B050D5"/>
    <w:rsid w:val="00B05836"/>
    <w:rsid w:val="00B13535"/>
    <w:rsid w:val="00B176EE"/>
    <w:rsid w:val="00B212F6"/>
    <w:rsid w:val="00B21729"/>
    <w:rsid w:val="00B217B0"/>
    <w:rsid w:val="00B21FEC"/>
    <w:rsid w:val="00B2255F"/>
    <w:rsid w:val="00B22777"/>
    <w:rsid w:val="00B23D5C"/>
    <w:rsid w:val="00B2579D"/>
    <w:rsid w:val="00B3160D"/>
    <w:rsid w:val="00B358F3"/>
    <w:rsid w:val="00B37784"/>
    <w:rsid w:val="00B37ADF"/>
    <w:rsid w:val="00B42F7D"/>
    <w:rsid w:val="00B45F2F"/>
    <w:rsid w:val="00B46A9E"/>
    <w:rsid w:val="00B53B01"/>
    <w:rsid w:val="00B54AB0"/>
    <w:rsid w:val="00B56F9A"/>
    <w:rsid w:val="00B600D9"/>
    <w:rsid w:val="00B6325B"/>
    <w:rsid w:val="00B65240"/>
    <w:rsid w:val="00B70245"/>
    <w:rsid w:val="00B7578F"/>
    <w:rsid w:val="00B77B00"/>
    <w:rsid w:val="00B8284D"/>
    <w:rsid w:val="00B8773A"/>
    <w:rsid w:val="00B90523"/>
    <w:rsid w:val="00B917F2"/>
    <w:rsid w:val="00B93726"/>
    <w:rsid w:val="00B95587"/>
    <w:rsid w:val="00B9573C"/>
    <w:rsid w:val="00BA7786"/>
    <w:rsid w:val="00BB088E"/>
    <w:rsid w:val="00BB20C0"/>
    <w:rsid w:val="00BB2E7D"/>
    <w:rsid w:val="00BB36AD"/>
    <w:rsid w:val="00BB3F39"/>
    <w:rsid w:val="00BB4CDC"/>
    <w:rsid w:val="00BC0B49"/>
    <w:rsid w:val="00BC22F2"/>
    <w:rsid w:val="00BC456E"/>
    <w:rsid w:val="00BC526C"/>
    <w:rsid w:val="00BC59A4"/>
    <w:rsid w:val="00BD2241"/>
    <w:rsid w:val="00BD406A"/>
    <w:rsid w:val="00BD68FE"/>
    <w:rsid w:val="00BE4307"/>
    <w:rsid w:val="00BE6202"/>
    <w:rsid w:val="00BF03E3"/>
    <w:rsid w:val="00BF0949"/>
    <w:rsid w:val="00BF6320"/>
    <w:rsid w:val="00BF7605"/>
    <w:rsid w:val="00C0735E"/>
    <w:rsid w:val="00C11A57"/>
    <w:rsid w:val="00C12DF3"/>
    <w:rsid w:val="00C14115"/>
    <w:rsid w:val="00C17EB7"/>
    <w:rsid w:val="00C22685"/>
    <w:rsid w:val="00C254BA"/>
    <w:rsid w:val="00C264D2"/>
    <w:rsid w:val="00C27D0F"/>
    <w:rsid w:val="00C31DC7"/>
    <w:rsid w:val="00C32D6A"/>
    <w:rsid w:val="00C360B9"/>
    <w:rsid w:val="00C42DCE"/>
    <w:rsid w:val="00C43AE7"/>
    <w:rsid w:val="00C473E2"/>
    <w:rsid w:val="00C516D9"/>
    <w:rsid w:val="00C51C2D"/>
    <w:rsid w:val="00C56686"/>
    <w:rsid w:val="00C61002"/>
    <w:rsid w:val="00C74FD3"/>
    <w:rsid w:val="00C800C4"/>
    <w:rsid w:val="00C8144A"/>
    <w:rsid w:val="00C83DCA"/>
    <w:rsid w:val="00C856AC"/>
    <w:rsid w:val="00C93A33"/>
    <w:rsid w:val="00C93EF2"/>
    <w:rsid w:val="00C97FFA"/>
    <w:rsid w:val="00CA0576"/>
    <w:rsid w:val="00CA1E80"/>
    <w:rsid w:val="00CA336E"/>
    <w:rsid w:val="00CA4E85"/>
    <w:rsid w:val="00CB0259"/>
    <w:rsid w:val="00CB1424"/>
    <w:rsid w:val="00CB22F0"/>
    <w:rsid w:val="00CC088B"/>
    <w:rsid w:val="00CC2CC5"/>
    <w:rsid w:val="00CC2E99"/>
    <w:rsid w:val="00CC33FB"/>
    <w:rsid w:val="00CC3DAB"/>
    <w:rsid w:val="00CC5938"/>
    <w:rsid w:val="00CC7809"/>
    <w:rsid w:val="00CC7D2E"/>
    <w:rsid w:val="00CD169C"/>
    <w:rsid w:val="00CD3D83"/>
    <w:rsid w:val="00CD602F"/>
    <w:rsid w:val="00CD61E6"/>
    <w:rsid w:val="00CE14A9"/>
    <w:rsid w:val="00CE1675"/>
    <w:rsid w:val="00CE2378"/>
    <w:rsid w:val="00CE72F9"/>
    <w:rsid w:val="00CF08D7"/>
    <w:rsid w:val="00CF1EC6"/>
    <w:rsid w:val="00CF3E78"/>
    <w:rsid w:val="00D018A6"/>
    <w:rsid w:val="00D1244A"/>
    <w:rsid w:val="00D13395"/>
    <w:rsid w:val="00D14745"/>
    <w:rsid w:val="00D14EDB"/>
    <w:rsid w:val="00D173FC"/>
    <w:rsid w:val="00D20272"/>
    <w:rsid w:val="00D2042E"/>
    <w:rsid w:val="00D208ED"/>
    <w:rsid w:val="00D2186A"/>
    <w:rsid w:val="00D27390"/>
    <w:rsid w:val="00D27590"/>
    <w:rsid w:val="00D27DB3"/>
    <w:rsid w:val="00D30D3A"/>
    <w:rsid w:val="00D3184A"/>
    <w:rsid w:val="00D35242"/>
    <w:rsid w:val="00D40797"/>
    <w:rsid w:val="00D43FDE"/>
    <w:rsid w:val="00D509D9"/>
    <w:rsid w:val="00D50F20"/>
    <w:rsid w:val="00D534DB"/>
    <w:rsid w:val="00D54B87"/>
    <w:rsid w:val="00D54E82"/>
    <w:rsid w:val="00D628C1"/>
    <w:rsid w:val="00D63705"/>
    <w:rsid w:val="00D64CC9"/>
    <w:rsid w:val="00D665C8"/>
    <w:rsid w:val="00D72351"/>
    <w:rsid w:val="00D72FD3"/>
    <w:rsid w:val="00D817DF"/>
    <w:rsid w:val="00D819F6"/>
    <w:rsid w:val="00D825F8"/>
    <w:rsid w:val="00D93371"/>
    <w:rsid w:val="00D938AF"/>
    <w:rsid w:val="00D94430"/>
    <w:rsid w:val="00D96E89"/>
    <w:rsid w:val="00DA0D39"/>
    <w:rsid w:val="00DA31C4"/>
    <w:rsid w:val="00DA554A"/>
    <w:rsid w:val="00DA697B"/>
    <w:rsid w:val="00DB0739"/>
    <w:rsid w:val="00DB4003"/>
    <w:rsid w:val="00DB4AD4"/>
    <w:rsid w:val="00DC2F34"/>
    <w:rsid w:val="00DC56FB"/>
    <w:rsid w:val="00DC7690"/>
    <w:rsid w:val="00DD4B1D"/>
    <w:rsid w:val="00DD576A"/>
    <w:rsid w:val="00DF054A"/>
    <w:rsid w:val="00DF0C26"/>
    <w:rsid w:val="00DF14ED"/>
    <w:rsid w:val="00DF18FB"/>
    <w:rsid w:val="00DF6F6D"/>
    <w:rsid w:val="00E01924"/>
    <w:rsid w:val="00E01B3F"/>
    <w:rsid w:val="00E02656"/>
    <w:rsid w:val="00E0369F"/>
    <w:rsid w:val="00E0790A"/>
    <w:rsid w:val="00E12AAA"/>
    <w:rsid w:val="00E21987"/>
    <w:rsid w:val="00E227BB"/>
    <w:rsid w:val="00E22EB8"/>
    <w:rsid w:val="00E2429A"/>
    <w:rsid w:val="00E253C2"/>
    <w:rsid w:val="00E32AA1"/>
    <w:rsid w:val="00E348F7"/>
    <w:rsid w:val="00E42580"/>
    <w:rsid w:val="00E42804"/>
    <w:rsid w:val="00E43954"/>
    <w:rsid w:val="00E454E9"/>
    <w:rsid w:val="00E46154"/>
    <w:rsid w:val="00E50DC6"/>
    <w:rsid w:val="00E558FA"/>
    <w:rsid w:val="00E616E4"/>
    <w:rsid w:val="00E62D16"/>
    <w:rsid w:val="00E725AE"/>
    <w:rsid w:val="00E73B92"/>
    <w:rsid w:val="00E74C82"/>
    <w:rsid w:val="00E762B6"/>
    <w:rsid w:val="00E81F2F"/>
    <w:rsid w:val="00E823EC"/>
    <w:rsid w:val="00E85BE7"/>
    <w:rsid w:val="00E85ED1"/>
    <w:rsid w:val="00E8600A"/>
    <w:rsid w:val="00E86AB9"/>
    <w:rsid w:val="00E90B49"/>
    <w:rsid w:val="00E92640"/>
    <w:rsid w:val="00E97070"/>
    <w:rsid w:val="00EA0BDF"/>
    <w:rsid w:val="00EA50F5"/>
    <w:rsid w:val="00EA60DF"/>
    <w:rsid w:val="00EA67AB"/>
    <w:rsid w:val="00EB41C8"/>
    <w:rsid w:val="00EC0920"/>
    <w:rsid w:val="00EC3387"/>
    <w:rsid w:val="00EC53DC"/>
    <w:rsid w:val="00ED2F47"/>
    <w:rsid w:val="00ED6F1B"/>
    <w:rsid w:val="00EE4DAC"/>
    <w:rsid w:val="00EF61F8"/>
    <w:rsid w:val="00EF7B39"/>
    <w:rsid w:val="00F020C6"/>
    <w:rsid w:val="00F0233E"/>
    <w:rsid w:val="00F06637"/>
    <w:rsid w:val="00F1349F"/>
    <w:rsid w:val="00F32E51"/>
    <w:rsid w:val="00F333F9"/>
    <w:rsid w:val="00F33927"/>
    <w:rsid w:val="00F342CA"/>
    <w:rsid w:val="00F353A8"/>
    <w:rsid w:val="00F43042"/>
    <w:rsid w:val="00F44012"/>
    <w:rsid w:val="00F4409B"/>
    <w:rsid w:val="00F45CE3"/>
    <w:rsid w:val="00F5098B"/>
    <w:rsid w:val="00F50A1C"/>
    <w:rsid w:val="00F50DE1"/>
    <w:rsid w:val="00F50F4C"/>
    <w:rsid w:val="00F5187A"/>
    <w:rsid w:val="00F53D1E"/>
    <w:rsid w:val="00F60BB3"/>
    <w:rsid w:val="00F61F0A"/>
    <w:rsid w:val="00F63336"/>
    <w:rsid w:val="00F6362A"/>
    <w:rsid w:val="00F64D89"/>
    <w:rsid w:val="00F66480"/>
    <w:rsid w:val="00F72A6C"/>
    <w:rsid w:val="00F7542E"/>
    <w:rsid w:val="00F756E3"/>
    <w:rsid w:val="00F76BA9"/>
    <w:rsid w:val="00F770D6"/>
    <w:rsid w:val="00F7720F"/>
    <w:rsid w:val="00F836FE"/>
    <w:rsid w:val="00F83EF4"/>
    <w:rsid w:val="00F87250"/>
    <w:rsid w:val="00F87E71"/>
    <w:rsid w:val="00F9053E"/>
    <w:rsid w:val="00F93A97"/>
    <w:rsid w:val="00FA0A1E"/>
    <w:rsid w:val="00FA3C97"/>
    <w:rsid w:val="00FB1704"/>
    <w:rsid w:val="00FB1D41"/>
    <w:rsid w:val="00FB41C4"/>
    <w:rsid w:val="00FB74C6"/>
    <w:rsid w:val="00FC0231"/>
    <w:rsid w:val="00FC22B6"/>
    <w:rsid w:val="00FC43A0"/>
    <w:rsid w:val="00FC6F62"/>
    <w:rsid w:val="00FD4FD3"/>
    <w:rsid w:val="00FD7993"/>
    <w:rsid w:val="00FE07B1"/>
    <w:rsid w:val="00FE2FF7"/>
    <w:rsid w:val="00FF282F"/>
    <w:rsid w:val="00FF77E7"/>
    <w:rsid w:val="03433C25"/>
    <w:rsid w:val="06902B45"/>
    <w:rsid w:val="0732A495"/>
    <w:rsid w:val="07A4E255"/>
    <w:rsid w:val="0A82C27C"/>
    <w:rsid w:val="0A92F021"/>
    <w:rsid w:val="0B288D46"/>
    <w:rsid w:val="0BCBA5CC"/>
    <w:rsid w:val="0CFDBC92"/>
    <w:rsid w:val="0D98749D"/>
    <w:rsid w:val="0ECADA4F"/>
    <w:rsid w:val="10D0AF9A"/>
    <w:rsid w:val="117A5783"/>
    <w:rsid w:val="124AE62A"/>
    <w:rsid w:val="12D0E551"/>
    <w:rsid w:val="12E7826F"/>
    <w:rsid w:val="13E52AE9"/>
    <w:rsid w:val="1427F3FA"/>
    <w:rsid w:val="15120D2C"/>
    <w:rsid w:val="1599A926"/>
    <w:rsid w:val="15D99478"/>
    <w:rsid w:val="1874EFA2"/>
    <w:rsid w:val="18B2CB90"/>
    <w:rsid w:val="190914CC"/>
    <w:rsid w:val="191F7419"/>
    <w:rsid w:val="19C6AD21"/>
    <w:rsid w:val="1B49675B"/>
    <w:rsid w:val="1BA0B552"/>
    <w:rsid w:val="1BAFF0C7"/>
    <w:rsid w:val="1C30268A"/>
    <w:rsid w:val="1DF6523F"/>
    <w:rsid w:val="1E5B17BB"/>
    <w:rsid w:val="1EBEBCFB"/>
    <w:rsid w:val="1EC13EEF"/>
    <w:rsid w:val="1FF78EA2"/>
    <w:rsid w:val="22D6679F"/>
    <w:rsid w:val="2377F16A"/>
    <w:rsid w:val="25BE672C"/>
    <w:rsid w:val="25D05A38"/>
    <w:rsid w:val="262FE7D3"/>
    <w:rsid w:val="2A5424A3"/>
    <w:rsid w:val="2A9668CD"/>
    <w:rsid w:val="2A9C5209"/>
    <w:rsid w:val="2B90894E"/>
    <w:rsid w:val="2E1CFE2F"/>
    <w:rsid w:val="2F6AEB8C"/>
    <w:rsid w:val="326AA28E"/>
    <w:rsid w:val="32BFBE14"/>
    <w:rsid w:val="3345E685"/>
    <w:rsid w:val="35DBE8BF"/>
    <w:rsid w:val="395178EA"/>
    <w:rsid w:val="395E0C15"/>
    <w:rsid w:val="3962745F"/>
    <w:rsid w:val="3B21A48E"/>
    <w:rsid w:val="3B892688"/>
    <w:rsid w:val="3C0F7A12"/>
    <w:rsid w:val="3D6E85F2"/>
    <w:rsid w:val="3E5B0DA8"/>
    <w:rsid w:val="3F87B009"/>
    <w:rsid w:val="4192A9C1"/>
    <w:rsid w:val="41C9B814"/>
    <w:rsid w:val="42890D9A"/>
    <w:rsid w:val="428D342D"/>
    <w:rsid w:val="4402C9E8"/>
    <w:rsid w:val="4532035D"/>
    <w:rsid w:val="45952216"/>
    <w:rsid w:val="45B913DD"/>
    <w:rsid w:val="46278F28"/>
    <w:rsid w:val="4655E2BC"/>
    <w:rsid w:val="47B6C7B2"/>
    <w:rsid w:val="485D5464"/>
    <w:rsid w:val="4888F5BA"/>
    <w:rsid w:val="4917C298"/>
    <w:rsid w:val="49825AE5"/>
    <w:rsid w:val="4A6D8141"/>
    <w:rsid w:val="4AE42399"/>
    <w:rsid w:val="4B870AE5"/>
    <w:rsid w:val="4C03E517"/>
    <w:rsid w:val="4C5E60BD"/>
    <w:rsid w:val="4CBC0A65"/>
    <w:rsid w:val="4DD68CB1"/>
    <w:rsid w:val="4F576A8E"/>
    <w:rsid w:val="4FFA0B1B"/>
    <w:rsid w:val="50A40FC6"/>
    <w:rsid w:val="50C7C73C"/>
    <w:rsid w:val="514622F5"/>
    <w:rsid w:val="52029FB8"/>
    <w:rsid w:val="53EE3BE4"/>
    <w:rsid w:val="53FC518F"/>
    <w:rsid w:val="53FFB46D"/>
    <w:rsid w:val="5433A2A0"/>
    <w:rsid w:val="5530F93E"/>
    <w:rsid w:val="55785EA9"/>
    <w:rsid w:val="55808304"/>
    <w:rsid w:val="56AFF797"/>
    <w:rsid w:val="57352B57"/>
    <w:rsid w:val="583F9E2F"/>
    <w:rsid w:val="58D5CCE0"/>
    <w:rsid w:val="5956D243"/>
    <w:rsid w:val="5AE27A04"/>
    <w:rsid w:val="5B2E8E41"/>
    <w:rsid w:val="5EC6ABF1"/>
    <w:rsid w:val="5FD9EE1A"/>
    <w:rsid w:val="612225CA"/>
    <w:rsid w:val="62241255"/>
    <w:rsid w:val="648DB142"/>
    <w:rsid w:val="6527B584"/>
    <w:rsid w:val="654077B9"/>
    <w:rsid w:val="670B3CB4"/>
    <w:rsid w:val="6781BC4A"/>
    <w:rsid w:val="68744EB0"/>
    <w:rsid w:val="6B3A8A63"/>
    <w:rsid w:val="6BC2A685"/>
    <w:rsid w:val="6C736B5A"/>
    <w:rsid w:val="6F5FD1B2"/>
    <w:rsid w:val="701D209F"/>
    <w:rsid w:val="71AAD8C2"/>
    <w:rsid w:val="725FEEBB"/>
    <w:rsid w:val="72A545A9"/>
    <w:rsid w:val="72AE5575"/>
    <w:rsid w:val="73729F7E"/>
    <w:rsid w:val="73946ACE"/>
    <w:rsid w:val="74378232"/>
    <w:rsid w:val="758CFEDA"/>
    <w:rsid w:val="767B0916"/>
    <w:rsid w:val="7799365E"/>
    <w:rsid w:val="7ADA688B"/>
    <w:rsid w:val="7B3E86F3"/>
    <w:rsid w:val="7B6AEC00"/>
    <w:rsid w:val="7B96DE1C"/>
    <w:rsid w:val="7BA71293"/>
    <w:rsid w:val="7CE7813E"/>
    <w:rsid w:val="7D2E8FD4"/>
    <w:rsid w:val="7D5334AF"/>
    <w:rsid w:val="7D681B9E"/>
    <w:rsid w:val="7FCCB4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51A9D"/>
  <w15:docId w15:val="{A5CD2B52-70E5-464C-B24F-619A6FF0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240" w:after="180"/>
      <w:outlineLvl w:val="0"/>
    </w:pPr>
    <w:rPr>
      <w:b/>
      <w:bCs/>
      <w:color w:val="1F3864"/>
      <w:sz w:val="28"/>
      <w:szCs w:val="28"/>
    </w:rPr>
  </w:style>
  <w:style w:type="paragraph" w:styleId="Naslov2">
    <w:name w:val="heading 2"/>
    <w:link w:val="Naslov2Znak"/>
    <w:uiPriority w:val="9"/>
    <w:unhideWhenUsed/>
    <w:qFormat/>
    <w:pPr>
      <w:spacing w:before="280" w:after="140"/>
      <w:outlineLvl w:val="1"/>
    </w:pPr>
    <w:rPr>
      <w:b/>
      <w:bCs/>
      <w:color w:val="2E5E8C"/>
      <w:sz w:val="24"/>
      <w:szCs w:val="24"/>
    </w:rPr>
  </w:style>
  <w:style w:type="paragraph" w:styleId="Naslov3">
    <w:name w:val="heading 3"/>
    <w:link w:val="Naslov3Znak"/>
    <w:uiPriority w:val="9"/>
    <w:unhideWhenUsed/>
    <w:qFormat/>
    <w:pPr>
      <w:spacing w:before="200" w:after="100"/>
      <w:outlineLvl w:val="2"/>
    </w:pPr>
    <w:rPr>
      <w:b/>
      <w:bCs/>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 w:type="paragraph" w:styleId="Navadensplet">
    <w:name w:val="Normal (Web)"/>
    <w:basedOn w:val="Navaden"/>
    <w:uiPriority w:val="99"/>
    <w:semiHidden/>
    <w:unhideWhenUsed/>
    <w:rsid w:val="0070554F"/>
    <w:pPr>
      <w:spacing w:before="100" w:beforeAutospacing="1" w:after="100" w:afterAutospacing="1"/>
    </w:pPr>
    <w:rPr>
      <w:rFonts w:ascii="Times New Roman" w:eastAsia="Times New Roman" w:hAnsi="Times New Roman" w:cs="Times New Roman"/>
      <w:sz w:val="24"/>
      <w:szCs w:val="24"/>
    </w:rPr>
  </w:style>
  <w:style w:type="character" w:styleId="Nerazreenaomemba">
    <w:name w:val="Unresolved Mention"/>
    <w:basedOn w:val="Privzetapisavaodstavka"/>
    <w:uiPriority w:val="99"/>
    <w:semiHidden/>
    <w:unhideWhenUsed/>
    <w:rsid w:val="00F756E3"/>
    <w:rPr>
      <w:color w:val="605E5C"/>
      <w:shd w:val="clear" w:color="auto" w:fill="E1DFDD"/>
    </w:rPr>
  </w:style>
  <w:style w:type="paragraph" w:styleId="Glava">
    <w:name w:val="header"/>
    <w:basedOn w:val="Navaden"/>
    <w:link w:val="GlavaZnak"/>
    <w:uiPriority w:val="99"/>
    <w:unhideWhenUsed/>
    <w:rsid w:val="00691C66"/>
    <w:pPr>
      <w:tabs>
        <w:tab w:val="center" w:pos="4536"/>
        <w:tab w:val="right" w:pos="9072"/>
      </w:tabs>
    </w:pPr>
  </w:style>
  <w:style w:type="character" w:customStyle="1" w:styleId="GlavaZnak">
    <w:name w:val="Glava Znak"/>
    <w:basedOn w:val="Privzetapisavaodstavka"/>
    <w:link w:val="Glava"/>
    <w:uiPriority w:val="99"/>
    <w:rsid w:val="00691C66"/>
  </w:style>
  <w:style w:type="paragraph" w:styleId="Noga">
    <w:name w:val="footer"/>
    <w:basedOn w:val="Navaden"/>
    <w:link w:val="NogaZnak"/>
    <w:uiPriority w:val="99"/>
    <w:unhideWhenUsed/>
    <w:rsid w:val="00691C66"/>
    <w:pPr>
      <w:tabs>
        <w:tab w:val="center" w:pos="4536"/>
        <w:tab w:val="right" w:pos="9072"/>
      </w:tabs>
    </w:pPr>
  </w:style>
  <w:style w:type="character" w:customStyle="1" w:styleId="NogaZnak">
    <w:name w:val="Noga Znak"/>
    <w:basedOn w:val="Privzetapisavaodstavka"/>
    <w:link w:val="Noga"/>
    <w:uiPriority w:val="99"/>
    <w:rsid w:val="00691C66"/>
  </w:style>
  <w:style w:type="character" w:customStyle="1" w:styleId="Naslov2Znak">
    <w:name w:val="Naslov 2 Znak"/>
    <w:basedOn w:val="Privzetapisavaodstavka"/>
    <w:link w:val="Naslov2"/>
    <w:uiPriority w:val="9"/>
    <w:rPr>
      <w:b/>
      <w:bCs/>
      <w:color w:val="2E5E8C"/>
      <w:sz w:val="24"/>
      <w:szCs w:val="24"/>
    </w:rPr>
  </w:style>
  <w:style w:type="paragraph" w:customStyle="1" w:styleId="Navaden1">
    <w:name w:val="Navaden1"/>
    <w:basedOn w:val="Navaden"/>
    <w:pPr>
      <w:spacing w:line="300" w:lineRule="atLeast"/>
      <w:jc w:val="both"/>
    </w:pPr>
    <w:rPr>
      <w:color w:val="000000"/>
      <w:kern w:val="2"/>
      <w14:ligatures w14:val="standardContextual"/>
    </w:rPr>
  </w:style>
  <w:style w:type="paragraph" w:customStyle="1" w:styleId="Odstavekseznama1">
    <w:name w:val="Odstavek seznama1"/>
    <w:basedOn w:val="Navaden"/>
    <w:rsid w:val="00A86B1F"/>
    <w:pPr>
      <w:spacing w:line="300" w:lineRule="atLeast"/>
      <w:jc w:val="both"/>
    </w:pPr>
    <w:rPr>
      <w:kern w:val="2"/>
      <w14:ligatures w14:val="standardContextual"/>
    </w:rPr>
  </w:style>
  <w:style w:type="paragraph" w:styleId="Pripombabesedilo">
    <w:name w:val="annotation text"/>
    <w:basedOn w:val="Navaden"/>
    <w:link w:val="PripombabesediloZnak"/>
    <w:uiPriority w:val="99"/>
    <w:unhideWhenUsed/>
    <w:rPr>
      <w:sz w:val="20"/>
      <w:szCs w:val="20"/>
    </w:rPr>
  </w:style>
  <w:style w:type="character" w:customStyle="1" w:styleId="PripombabesediloZnak">
    <w:name w:val="Pripomba – besedilo Znak"/>
    <w:basedOn w:val="Privzetapisavaodstavka"/>
    <w:link w:val="Pripombabesedilo"/>
    <w:uiPriority w:val="99"/>
    <w:rPr>
      <w:sz w:val="20"/>
      <w:szCs w:val="20"/>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4F786C"/>
  </w:style>
  <w:style w:type="paragraph" w:styleId="Zadevapripombe">
    <w:name w:val="annotation subject"/>
    <w:basedOn w:val="Pripombabesedilo"/>
    <w:next w:val="Pripombabesedilo"/>
    <w:link w:val="ZadevapripombeZnak"/>
    <w:uiPriority w:val="99"/>
    <w:semiHidden/>
    <w:unhideWhenUsed/>
    <w:rsid w:val="0039464C"/>
    <w:rPr>
      <w:b/>
      <w:bCs/>
    </w:rPr>
  </w:style>
  <w:style w:type="character" w:customStyle="1" w:styleId="ZadevapripombeZnak">
    <w:name w:val="Zadeva pripombe Znak"/>
    <w:basedOn w:val="PripombabesediloZnak"/>
    <w:link w:val="Zadevapripombe"/>
    <w:uiPriority w:val="99"/>
    <w:semiHidden/>
    <w:rsid w:val="0039464C"/>
    <w:rPr>
      <w:b/>
      <w:bCs/>
      <w:sz w:val="20"/>
      <w:szCs w:val="20"/>
    </w:rPr>
  </w:style>
  <w:style w:type="paragraph" w:styleId="Kazalovsebine1">
    <w:name w:val="toc 1"/>
    <w:basedOn w:val="Navaden"/>
    <w:next w:val="Navaden"/>
    <w:autoRedefine/>
    <w:uiPriority w:val="39"/>
    <w:unhideWhenUsed/>
    <w:rsid w:val="00624255"/>
    <w:pPr>
      <w:spacing w:after="100"/>
    </w:pPr>
  </w:style>
  <w:style w:type="paragraph" w:styleId="Kazalovsebine2">
    <w:name w:val="toc 2"/>
    <w:basedOn w:val="Navaden"/>
    <w:next w:val="Navaden"/>
    <w:autoRedefine/>
    <w:uiPriority w:val="39"/>
    <w:unhideWhenUsed/>
    <w:rsid w:val="00624255"/>
    <w:pPr>
      <w:spacing w:after="100"/>
      <w:ind w:left="220"/>
    </w:pPr>
  </w:style>
  <w:style w:type="paragraph" w:customStyle="1" w:styleId="Navaden2">
    <w:name w:val="Navaden2"/>
    <w:basedOn w:val="Navaden"/>
    <w:rPr>
      <w:kern w:val="2"/>
      <w14:ligatures w14:val="standardContextual"/>
    </w:rPr>
  </w:style>
  <w:style w:type="paragraph" w:customStyle="1" w:styleId="Odstavekseznama2">
    <w:name w:val="Odstavek seznama2"/>
    <w:basedOn w:val="Navaden"/>
    <w:rsid w:val="00BC456E"/>
    <w:rPr>
      <w:kern w:val="2"/>
      <w14:ligatures w14:val="standardContextual"/>
    </w:rPr>
  </w:style>
  <w:style w:type="paragraph" w:customStyle="1" w:styleId="paragraph">
    <w:name w:val="paragraph"/>
    <w:basedOn w:val="Navaden"/>
    <w:rsid w:val="009F7E47"/>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Privzetapisavaodstavka"/>
    <w:rsid w:val="009F7E47"/>
  </w:style>
  <w:style w:type="character" w:customStyle="1" w:styleId="eop">
    <w:name w:val="eop"/>
    <w:basedOn w:val="Privzetapisavaodstavka"/>
    <w:rsid w:val="009F7E47"/>
  </w:style>
  <w:style w:type="paragraph" w:customStyle="1" w:styleId="Navaden3">
    <w:name w:val="Navaden3"/>
    <w:basedOn w:val="Navaden"/>
    <w:rsid w:val="00F76BA9"/>
    <w:rPr>
      <w:kern w:val="2"/>
      <w14:ligatures w14:val="standardContextual"/>
    </w:rPr>
  </w:style>
  <w:style w:type="character" w:customStyle="1" w:styleId="Naslov1Znak">
    <w:name w:val="Naslov 1 Znak"/>
    <w:basedOn w:val="Privzetapisavaodstavka"/>
    <w:link w:val="Naslov1"/>
    <w:uiPriority w:val="9"/>
    <w:rsid w:val="00B21729"/>
    <w:rPr>
      <w:b/>
      <w:bCs/>
      <w:color w:val="1F3864"/>
      <w:sz w:val="28"/>
      <w:szCs w:val="28"/>
    </w:rPr>
  </w:style>
  <w:style w:type="character" w:customStyle="1" w:styleId="Naslov3Znak">
    <w:name w:val="Naslov 3 Znak"/>
    <w:basedOn w:val="Privzetapisavaodstavka"/>
    <w:link w:val="Naslov3"/>
    <w:uiPriority w:val="9"/>
    <w:rsid w:val="004607B6"/>
    <w:rPr>
      <w:b/>
      <w:bCs/>
    </w:rPr>
  </w:style>
  <w:style w:type="paragraph" w:styleId="Kazalovsebine3">
    <w:name w:val="toc 3"/>
    <w:basedOn w:val="Navaden"/>
    <w:next w:val="Navaden"/>
    <w:autoRedefine/>
    <w:uiPriority w:val="39"/>
    <w:unhideWhenUsed/>
    <w:rsid w:val="004607B6"/>
    <w:pPr>
      <w:spacing w:after="100"/>
      <w:ind w:left="440"/>
    </w:pPr>
  </w:style>
  <w:style w:type="paragraph" w:customStyle="1" w:styleId="Odstavekseznama3">
    <w:name w:val="Odstavek seznama3"/>
    <w:basedOn w:val="Navaden"/>
    <w:rsid w:val="00565EE5"/>
    <w:rPr>
      <w:kern w:val="2"/>
      <w14:ligatures w14:val="standardContextual"/>
    </w:rPr>
  </w:style>
  <w:style w:type="paragraph" w:customStyle="1" w:styleId="Navaden4">
    <w:name w:val="Navaden4"/>
    <w:basedOn w:val="Navaden"/>
    <w:rPr>
      <w:kern w:val="2"/>
      <w14:ligatures w14:val="standardContextual"/>
    </w:rPr>
  </w:style>
  <w:style w:type="paragraph" w:customStyle="1" w:styleId="Navaden5">
    <w:name w:val="Navaden5"/>
    <w:basedOn w:val="Navaden"/>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BFCBAE91F9504DA4DD92416D711643" ma:contentTypeVersion="3" ma:contentTypeDescription="Create a new document." ma:contentTypeScope="" ma:versionID="247047ae4f28c292ba68c1e92a9119e0">
  <xsd:schema xmlns:xsd="http://www.w3.org/2001/XMLSchema" xmlns:xs="http://www.w3.org/2001/XMLSchema" xmlns:p="http://schemas.microsoft.com/office/2006/metadata/properties" xmlns:ns2="f21ad3fb-2991-4738-bd88-126a4c14bb34" targetNamespace="http://schemas.microsoft.com/office/2006/metadata/properties" ma:root="true" ma:fieldsID="4a64aea237dbea9800c475eb8ae6a370" ns2:_="">
    <xsd:import namespace="f21ad3fb-2991-4738-bd88-126a4c14bb3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ad3fb-2991-4738-bd88-126a4c14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8253FB-39F1-42B8-8398-99CB196F27FC}">
  <ds:schemaRefs>
    <ds:schemaRef ds:uri="http://schemas.openxmlformats.org/officeDocument/2006/bibliography"/>
  </ds:schemaRefs>
</ds:datastoreItem>
</file>

<file path=customXml/itemProps2.xml><?xml version="1.0" encoding="utf-8"?>
<ds:datastoreItem xmlns:ds="http://schemas.openxmlformats.org/officeDocument/2006/customXml" ds:itemID="{66F5138F-F01C-415E-BBB9-D49DCD39C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ad3fb-2991-4738-bd88-126a4c14b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ACDE07-66B8-4E46-8A05-7528C9D2E4B1}">
  <ds:schemaRefs>
    <ds:schemaRef ds:uri="http://schemas.microsoft.com/sharepoint/v3/contenttype/forms"/>
  </ds:schemaRefs>
</ds:datastoreItem>
</file>

<file path=customXml/itemProps4.xml><?xml version="1.0" encoding="utf-8"?>
<ds:datastoreItem xmlns:ds="http://schemas.openxmlformats.org/officeDocument/2006/customXml" ds:itemID="{8FAFC0CF-7219-4F31-BC02-930ED5A8F4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28</Pages>
  <Words>8330</Words>
  <Characters>58895</Characters>
  <Application>Microsoft Office Word</Application>
  <DocSecurity>0</DocSecurity>
  <Lines>892</Lines>
  <Paragraphs>371</Paragraphs>
  <ScaleCrop>false</ScaleCrop>
  <HeadingPairs>
    <vt:vector size="2" baseType="variant">
      <vt:variant>
        <vt:lpstr>Naslov</vt:lpstr>
      </vt:variant>
      <vt:variant>
        <vt:i4>1</vt:i4>
      </vt:variant>
    </vt:vector>
  </HeadingPairs>
  <TitlesOfParts>
    <vt:vector size="1" baseType="lpstr">
      <vt:lpstr>Strategija kibernetske varnosti Republike Slovenije 2027–2035</vt:lpstr>
    </vt:vector>
  </TitlesOfParts>
  <Company>MJU</Company>
  <LinksUpToDate>false</LinksUpToDate>
  <CharactersWithSpaces>66854</CharactersWithSpaces>
  <SharedDoc>false</SharedDoc>
  <HLinks>
    <vt:vector size="270" baseType="variant">
      <vt:variant>
        <vt:i4>1245235</vt:i4>
      </vt:variant>
      <vt:variant>
        <vt:i4>266</vt:i4>
      </vt:variant>
      <vt:variant>
        <vt:i4>0</vt:i4>
      </vt:variant>
      <vt:variant>
        <vt:i4>5</vt:i4>
      </vt:variant>
      <vt:variant>
        <vt:lpwstr/>
      </vt:variant>
      <vt:variant>
        <vt:lpwstr>_Toc242430040</vt:lpwstr>
      </vt:variant>
      <vt:variant>
        <vt:i4>1310771</vt:i4>
      </vt:variant>
      <vt:variant>
        <vt:i4>260</vt:i4>
      </vt:variant>
      <vt:variant>
        <vt:i4>0</vt:i4>
      </vt:variant>
      <vt:variant>
        <vt:i4>5</vt:i4>
      </vt:variant>
      <vt:variant>
        <vt:lpwstr/>
      </vt:variant>
      <vt:variant>
        <vt:lpwstr>_Toc242430039</vt:lpwstr>
      </vt:variant>
      <vt:variant>
        <vt:i4>1310771</vt:i4>
      </vt:variant>
      <vt:variant>
        <vt:i4>254</vt:i4>
      </vt:variant>
      <vt:variant>
        <vt:i4>0</vt:i4>
      </vt:variant>
      <vt:variant>
        <vt:i4>5</vt:i4>
      </vt:variant>
      <vt:variant>
        <vt:lpwstr/>
      </vt:variant>
      <vt:variant>
        <vt:lpwstr>_Toc242430038</vt:lpwstr>
      </vt:variant>
      <vt:variant>
        <vt:i4>1310771</vt:i4>
      </vt:variant>
      <vt:variant>
        <vt:i4>248</vt:i4>
      </vt:variant>
      <vt:variant>
        <vt:i4>0</vt:i4>
      </vt:variant>
      <vt:variant>
        <vt:i4>5</vt:i4>
      </vt:variant>
      <vt:variant>
        <vt:lpwstr/>
      </vt:variant>
      <vt:variant>
        <vt:lpwstr>_Toc242430037</vt:lpwstr>
      </vt:variant>
      <vt:variant>
        <vt:i4>1310771</vt:i4>
      </vt:variant>
      <vt:variant>
        <vt:i4>242</vt:i4>
      </vt:variant>
      <vt:variant>
        <vt:i4>0</vt:i4>
      </vt:variant>
      <vt:variant>
        <vt:i4>5</vt:i4>
      </vt:variant>
      <vt:variant>
        <vt:lpwstr/>
      </vt:variant>
      <vt:variant>
        <vt:lpwstr>_Toc242430036</vt:lpwstr>
      </vt:variant>
      <vt:variant>
        <vt:i4>1310771</vt:i4>
      </vt:variant>
      <vt:variant>
        <vt:i4>236</vt:i4>
      </vt:variant>
      <vt:variant>
        <vt:i4>0</vt:i4>
      </vt:variant>
      <vt:variant>
        <vt:i4>5</vt:i4>
      </vt:variant>
      <vt:variant>
        <vt:lpwstr/>
      </vt:variant>
      <vt:variant>
        <vt:lpwstr>_Toc242430035</vt:lpwstr>
      </vt:variant>
      <vt:variant>
        <vt:i4>1310771</vt:i4>
      </vt:variant>
      <vt:variant>
        <vt:i4>230</vt:i4>
      </vt:variant>
      <vt:variant>
        <vt:i4>0</vt:i4>
      </vt:variant>
      <vt:variant>
        <vt:i4>5</vt:i4>
      </vt:variant>
      <vt:variant>
        <vt:lpwstr/>
      </vt:variant>
      <vt:variant>
        <vt:lpwstr>_Toc242430034</vt:lpwstr>
      </vt:variant>
      <vt:variant>
        <vt:i4>1310771</vt:i4>
      </vt:variant>
      <vt:variant>
        <vt:i4>224</vt:i4>
      </vt:variant>
      <vt:variant>
        <vt:i4>0</vt:i4>
      </vt:variant>
      <vt:variant>
        <vt:i4>5</vt:i4>
      </vt:variant>
      <vt:variant>
        <vt:lpwstr/>
      </vt:variant>
      <vt:variant>
        <vt:lpwstr>_Toc242430033</vt:lpwstr>
      </vt:variant>
      <vt:variant>
        <vt:i4>1310771</vt:i4>
      </vt:variant>
      <vt:variant>
        <vt:i4>218</vt:i4>
      </vt:variant>
      <vt:variant>
        <vt:i4>0</vt:i4>
      </vt:variant>
      <vt:variant>
        <vt:i4>5</vt:i4>
      </vt:variant>
      <vt:variant>
        <vt:lpwstr/>
      </vt:variant>
      <vt:variant>
        <vt:lpwstr>_Toc242430032</vt:lpwstr>
      </vt:variant>
      <vt:variant>
        <vt:i4>1310771</vt:i4>
      </vt:variant>
      <vt:variant>
        <vt:i4>212</vt:i4>
      </vt:variant>
      <vt:variant>
        <vt:i4>0</vt:i4>
      </vt:variant>
      <vt:variant>
        <vt:i4>5</vt:i4>
      </vt:variant>
      <vt:variant>
        <vt:lpwstr/>
      </vt:variant>
      <vt:variant>
        <vt:lpwstr>_Toc242430031</vt:lpwstr>
      </vt:variant>
      <vt:variant>
        <vt:i4>1310771</vt:i4>
      </vt:variant>
      <vt:variant>
        <vt:i4>206</vt:i4>
      </vt:variant>
      <vt:variant>
        <vt:i4>0</vt:i4>
      </vt:variant>
      <vt:variant>
        <vt:i4>5</vt:i4>
      </vt:variant>
      <vt:variant>
        <vt:lpwstr/>
      </vt:variant>
      <vt:variant>
        <vt:lpwstr>_Toc242430030</vt:lpwstr>
      </vt:variant>
      <vt:variant>
        <vt:i4>1376307</vt:i4>
      </vt:variant>
      <vt:variant>
        <vt:i4>200</vt:i4>
      </vt:variant>
      <vt:variant>
        <vt:i4>0</vt:i4>
      </vt:variant>
      <vt:variant>
        <vt:i4>5</vt:i4>
      </vt:variant>
      <vt:variant>
        <vt:lpwstr/>
      </vt:variant>
      <vt:variant>
        <vt:lpwstr>_Toc242430029</vt:lpwstr>
      </vt:variant>
      <vt:variant>
        <vt:i4>1376307</vt:i4>
      </vt:variant>
      <vt:variant>
        <vt:i4>194</vt:i4>
      </vt:variant>
      <vt:variant>
        <vt:i4>0</vt:i4>
      </vt:variant>
      <vt:variant>
        <vt:i4>5</vt:i4>
      </vt:variant>
      <vt:variant>
        <vt:lpwstr/>
      </vt:variant>
      <vt:variant>
        <vt:lpwstr>_Toc242430028</vt:lpwstr>
      </vt:variant>
      <vt:variant>
        <vt:i4>1376307</vt:i4>
      </vt:variant>
      <vt:variant>
        <vt:i4>188</vt:i4>
      </vt:variant>
      <vt:variant>
        <vt:i4>0</vt:i4>
      </vt:variant>
      <vt:variant>
        <vt:i4>5</vt:i4>
      </vt:variant>
      <vt:variant>
        <vt:lpwstr/>
      </vt:variant>
      <vt:variant>
        <vt:lpwstr>_Toc242430027</vt:lpwstr>
      </vt:variant>
      <vt:variant>
        <vt:i4>1376307</vt:i4>
      </vt:variant>
      <vt:variant>
        <vt:i4>182</vt:i4>
      </vt:variant>
      <vt:variant>
        <vt:i4>0</vt:i4>
      </vt:variant>
      <vt:variant>
        <vt:i4>5</vt:i4>
      </vt:variant>
      <vt:variant>
        <vt:lpwstr/>
      </vt:variant>
      <vt:variant>
        <vt:lpwstr>_Toc242430026</vt:lpwstr>
      </vt:variant>
      <vt:variant>
        <vt:i4>1376307</vt:i4>
      </vt:variant>
      <vt:variant>
        <vt:i4>176</vt:i4>
      </vt:variant>
      <vt:variant>
        <vt:i4>0</vt:i4>
      </vt:variant>
      <vt:variant>
        <vt:i4>5</vt:i4>
      </vt:variant>
      <vt:variant>
        <vt:lpwstr/>
      </vt:variant>
      <vt:variant>
        <vt:lpwstr>_Toc242430025</vt:lpwstr>
      </vt:variant>
      <vt:variant>
        <vt:i4>1376307</vt:i4>
      </vt:variant>
      <vt:variant>
        <vt:i4>170</vt:i4>
      </vt:variant>
      <vt:variant>
        <vt:i4>0</vt:i4>
      </vt:variant>
      <vt:variant>
        <vt:i4>5</vt:i4>
      </vt:variant>
      <vt:variant>
        <vt:lpwstr/>
      </vt:variant>
      <vt:variant>
        <vt:lpwstr>_Toc242430024</vt:lpwstr>
      </vt:variant>
      <vt:variant>
        <vt:i4>1376307</vt:i4>
      </vt:variant>
      <vt:variant>
        <vt:i4>164</vt:i4>
      </vt:variant>
      <vt:variant>
        <vt:i4>0</vt:i4>
      </vt:variant>
      <vt:variant>
        <vt:i4>5</vt:i4>
      </vt:variant>
      <vt:variant>
        <vt:lpwstr/>
      </vt:variant>
      <vt:variant>
        <vt:lpwstr>_Toc242430023</vt:lpwstr>
      </vt:variant>
      <vt:variant>
        <vt:i4>1376307</vt:i4>
      </vt:variant>
      <vt:variant>
        <vt:i4>158</vt:i4>
      </vt:variant>
      <vt:variant>
        <vt:i4>0</vt:i4>
      </vt:variant>
      <vt:variant>
        <vt:i4>5</vt:i4>
      </vt:variant>
      <vt:variant>
        <vt:lpwstr/>
      </vt:variant>
      <vt:variant>
        <vt:lpwstr>_Toc242430022</vt:lpwstr>
      </vt:variant>
      <vt:variant>
        <vt:i4>1376307</vt:i4>
      </vt:variant>
      <vt:variant>
        <vt:i4>152</vt:i4>
      </vt:variant>
      <vt:variant>
        <vt:i4>0</vt:i4>
      </vt:variant>
      <vt:variant>
        <vt:i4>5</vt:i4>
      </vt:variant>
      <vt:variant>
        <vt:lpwstr/>
      </vt:variant>
      <vt:variant>
        <vt:lpwstr>_Toc242430021</vt:lpwstr>
      </vt:variant>
      <vt:variant>
        <vt:i4>1376307</vt:i4>
      </vt:variant>
      <vt:variant>
        <vt:i4>146</vt:i4>
      </vt:variant>
      <vt:variant>
        <vt:i4>0</vt:i4>
      </vt:variant>
      <vt:variant>
        <vt:i4>5</vt:i4>
      </vt:variant>
      <vt:variant>
        <vt:lpwstr/>
      </vt:variant>
      <vt:variant>
        <vt:lpwstr>_Toc242430020</vt:lpwstr>
      </vt:variant>
      <vt:variant>
        <vt:i4>1441843</vt:i4>
      </vt:variant>
      <vt:variant>
        <vt:i4>140</vt:i4>
      </vt:variant>
      <vt:variant>
        <vt:i4>0</vt:i4>
      </vt:variant>
      <vt:variant>
        <vt:i4>5</vt:i4>
      </vt:variant>
      <vt:variant>
        <vt:lpwstr/>
      </vt:variant>
      <vt:variant>
        <vt:lpwstr>_Toc242430019</vt:lpwstr>
      </vt:variant>
      <vt:variant>
        <vt:i4>1441843</vt:i4>
      </vt:variant>
      <vt:variant>
        <vt:i4>134</vt:i4>
      </vt:variant>
      <vt:variant>
        <vt:i4>0</vt:i4>
      </vt:variant>
      <vt:variant>
        <vt:i4>5</vt:i4>
      </vt:variant>
      <vt:variant>
        <vt:lpwstr/>
      </vt:variant>
      <vt:variant>
        <vt:lpwstr>_Toc242430018</vt:lpwstr>
      </vt:variant>
      <vt:variant>
        <vt:i4>1441843</vt:i4>
      </vt:variant>
      <vt:variant>
        <vt:i4>128</vt:i4>
      </vt:variant>
      <vt:variant>
        <vt:i4>0</vt:i4>
      </vt:variant>
      <vt:variant>
        <vt:i4>5</vt:i4>
      </vt:variant>
      <vt:variant>
        <vt:lpwstr/>
      </vt:variant>
      <vt:variant>
        <vt:lpwstr>_Toc242430017</vt:lpwstr>
      </vt:variant>
      <vt:variant>
        <vt:i4>1441843</vt:i4>
      </vt:variant>
      <vt:variant>
        <vt:i4>122</vt:i4>
      </vt:variant>
      <vt:variant>
        <vt:i4>0</vt:i4>
      </vt:variant>
      <vt:variant>
        <vt:i4>5</vt:i4>
      </vt:variant>
      <vt:variant>
        <vt:lpwstr/>
      </vt:variant>
      <vt:variant>
        <vt:lpwstr>_Toc242430016</vt:lpwstr>
      </vt:variant>
      <vt:variant>
        <vt:i4>1441843</vt:i4>
      </vt:variant>
      <vt:variant>
        <vt:i4>116</vt:i4>
      </vt:variant>
      <vt:variant>
        <vt:i4>0</vt:i4>
      </vt:variant>
      <vt:variant>
        <vt:i4>5</vt:i4>
      </vt:variant>
      <vt:variant>
        <vt:lpwstr/>
      </vt:variant>
      <vt:variant>
        <vt:lpwstr>_Toc242430015</vt:lpwstr>
      </vt:variant>
      <vt:variant>
        <vt:i4>1441843</vt:i4>
      </vt:variant>
      <vt:variant>
        <vt:i4>110</vt:i4>
      </vt:variant>
      <vt:variant>
        <vt:i4>0</vt:i4>
      </vt:variant>
      <vt:variant>
        <vt:i4>5</vt:i4>
      </vt:variant>
      <vt:variant>
        <vt:lpwstr/>
      </vt:variant>
      <vt:variant>
        <vt:lpwstr>_Toc242430014</vt:lpwstr>
      </vt:variant>
      <vt:variant>
        <vt:i4>1441843</vt:i4>
      </vt:variant>
      <vt:variant>
        <vt:i4>104</vt:i4>
      </vt:variant>
      <vt:variant>
        <vt:i4>0</vt:i4>
      </vt:variant>
      <vt:variant>
        <vt:i4>5</vt:i4>
      </vt:variant>
      <vt:variant>
        <vt:lpwstr/>
      </vt:variant>
      <vt:variant>
        <vt:lpwstr>_Toc242430013</vt:lpwstr>
      </vt:variant>
      <vt:variant>
        <vt:i4>1441843</vt:i4>
      </vt:variant>
      <vt:variant>
        <vt:i4>98</vt:i4>
      </vt:variant>
      <vt:variant>
        <vt:i4>0</vt:i4>
      </vt:variant>
      <vt:variant>
        <vt:i4>5</vt:i4>
      </vt:variant>
      <vt:variant>
        <vt:lpwstr/>
      </vt:variant>
      <vt:variant>
        <vt:lpwstr>_Toc242430012</vt:lpwstr>
      </vt:variant>
      <vt:variant>
        <vt:i4>1441843</vt:i4>
      </vt:variant>
      <vt:variant>
        <vt:i4>92</vt:i4>
      </vt:variant>
      <vt:variant>
        <vt:i4>0</vt:i4>
      </vt:variant>
      <vt:variant>
        <vt:i4>5</vt:i4>
      </vt:variant>
      <vt:variant>
        <vt:lpwstr/>
      </vt:variant>
      <vt:variant>
        <vt:lpwstr>_Toc242430011</vt:lpwstr>
      </vt:variant>
      <vt:variant>
        <vt:i4>1441843</vt:i4>
      </vt:variant>
      <vt:variant>
        <vt:i4>86</vt:i4>
      </vt:variant>
      <vt:variant>
        <vt:i4>0</vt:i4>
      </vt:variant>
      <vt:variant>
        <vt:i4>5</vt:i4>
      </vt:variant>
      <vt:variant>
        <vt:lpwstr/>
      </vt:variant>
      <vt:variant>
        <vt:lpwstr>_Toc242430010</vt:lpwstr>
      </vt:variant>
      <vt:variant>
        <vt:i4>1507379</vt:i4>
      </vt:variant>
      <vt:variant>
        <vt:i4>80</vt:i4>
      </vt:variant>
      <vt:variant>
        <vt:i4>0</vt:i4>
      </vt:variant>
      <vt:variant>
        <vt:i4>5</vt:i4>
      </vt:variant>
      <vt:variant>
        <vt:lpwstr/>
      </vt:variant>
      <vt:variant>
        <vt:lpwstr>_Toc242430009</vt:lpwstr>
      </vt:variant>
      <vt:variant>
        <vt:i4>1507379</vt:i4>
      </vt:variant>
      <vt:variant>
        <vt:i4>74</vt:i4>
      </vt:variant>
      <vt:variant>
        <vt:i4>0</vt:i4>
      </vt:variant>
      <vt:variant>
        <vt:i4>5</vt:i4>
      </vt:variant>
      <vt:variant>
        <vt:lpwstr/>
      </vt:variant>
      <vt:variant>
        <vt:lpwstr>_Toc242430008</vt:lpwstr>
      </vt:variant>
      <vt:variant>
        <vt:i4>1507379</vt:i4>
      </vt:variant>
      <vt:variant>
        <vt:i4>68</vt:i4>
      </vt:variant>
      <vt:variant>
        <vt:i4>0</vt:i4>
      </vt:variant>
      <vt:variant>
        <vt:i4>5</vt:i4>
      </vt:variant>
      <vt:variant>
        <vt:lpwstr/>
      </vt:variant>
      <vt:variant>
        <vt:lpwstr>_Toc242430007</vt:lpwstr>
      </vt:variant>
      <vt:variant>
        <vt:i4>1507379</vt:i4>
      </vt:variant>
      <vt:variant>
        <vt:i4>62</vt:i4>
      </vt:variant>
      <vt:variant>
        <vt:i4>0</vt:i4>
      </vt:variant>
      <vt:variant>
        <vt:i4>5</vt:i4>
      </vt:variant>
      <vt:variant>
        <vt:lpwstr/>
      </vt:variant>
      <vt:variant>
        <vt:lpwstr>_Toc242430006</vt:lpwstr>
      </vt:variant>
      <vt:variant>
        <vt:i4>1507379</vt:i4>
      </vt:variant>
      <vt:variant>
        <vt:i4>56</vt:i4>
      </vt:variant>
      <vt:variant>
        <vt:i4>0</vt:i4>
      </vt:variant>
      <vt:variant>
        <vt:i4>5</vt:i4>
      </vt:variant>
      <vt:variant>
        <vt:lpwstr/>
      </vt:variant>
      <vt:variant>
        <vt:lpwstr>_Toc242430005</vt:lpwstr>
      </vt:variant>
      <vt:variant>
        <vt:i4>1507379</vt:i4>
      </vt:variant>
      <vt:variant>
        <vt:i4>50</vt:i4>
      </vt:variant>
      <vt:variant>
        <vt:i4>0</vt:i4>
      </vt:variant>
      <vt:variant>
        <vt:i4>5</vt:i4>
      </vt:variant>
      <vt:variant>
        <vt:lpwstr/>
      </vt:variant>
      <vt:variant>
        <vt:lpwstr>_Toc242430004</vt:lpwstr>
      </vt:variant>
      <vt:variant>
        <vt:i4>1507379</vt:i4>
      </vt:variant>
      <vt:variant>
        <vt:i4>44</vt:i4>
      </vt:variant>
      <vt:variant>
        <vt:i4>0</vt:i4>
      </vt:variant>
      <vt:variant>
        <vt:i4>5</vt:i4>
      </vt:variant>
      <vt:variant>
        <vt:lpwstr/>
      </vt:variant>
      <vt:variant>
        <vt:lpwstr>_Toc242430003</vt:lpwstr>
      </vt:variant>
      <vt:variant>
        <vt:i4>1507379</vt:i4>
      </vt:variant>
      <vt:variant>
        <vt:i4>38</vt:i4>
      </vt:variant>
      <vt:variant>
        <vt:i4>0</vt:i4>
      </vt:variant>
      <vt:variant>
        <vt:i4>5</vt:i4>
      </vt:variant>
      <vt:variant>
        <vt:lpwstr/>
      </vt:variant>
      <vt:variant>
        <vt:lpwstr>_Toc242430002</vt:lpwstr>
      </vt:variant>
      <vt:variant>
        <vt:i4>1507379</vt:i4>
      </vt:variant>
      <vt:variant>
        <vt:i4>32</vt:i4>
      </vt:variant>
      <vt:variant>
        <vt:i4>0</vt:i4>
      </vt:variant>
      <vt:variant>
        <vt:i4>5</vt:i4>
      </vt:variant>
      <vt:variant>
        <vt:lpwstr/>
      </vt:variant>
      <vt:variant>
        <vt:lpwstr>_Toc242430001</vt:lpwstr>
      </vt:variant>
      <vt:variant>
        <vt:i4>1507379</vt:i4>
      </vt:variant>
      <vt:variant>
        <vt:i4>26</vt:i4>
      </vt:variant>
      <vt:variant>
        <vt:i4>0</vt:i4>
      </vt:variant>
      <vt:variant>
        <vt:i4>5</vt:i4>
      </vt:variant>
      <vt:variant>
        <vt:lpwstr/>
      </vt:variant>
      <vt:variant>
        <vt:lpwstr>_Toc242430000</vt:lpwstr>
      </vt:variant>
      <vt:variant>
        <vt:i4>1507387</vt:i4>
      </vt:variant>
      <vt:variant>
        <vt:i4>20</vt:i4>
      </vt:variant>
      <vt:variant>
        <vt:i4>0</vt:i4>
      </vt:variant>
      <vt:variant>
        <vt:i4>5</vt:i4>
      </vt:variant>
      <vt:variant>
        <vt:lpwstr/>
      </vt:variant>
      <vt:variant>
        <vt:lpwstr>_Toc242429999</vt:lpwstr>
      </vt:variant>
      <vt:variant>
        <vt:i4>1507387</vt:i4>
      </vt:variant>
      <vt:variant>
        <vt:i4>14</vt:i4>
      </vt:variant>
      <vt:variant>
        <vt:i4>0</vt:i4>
      </vt:variant>
      <vt:variant>
        <vt:i4>5</vt:i4>
      </vt:variant>
      <vt:variant>
        <vt:lpwstr/>
      </vt:variant>
      <vt:variant>
        <vt:lpwstr>_Toc242429998</vt:lpwstr>
      </vt:variant>
      <vt:variant>
        <vt:i4>1507387</vt:i4>
      </vt:variant>
      <vt:variant>
        <vt:i4>8</vt:i4>
      </vt:variant>
      <vt:variant>
        <vt:i4>0</vt:i4>
      </vt:variant>
      <vt:variant>
        <vt:i4>5</vt:i4>
      </vt:variant>
      <vt:variant>
        <vt:lpwstr/>
      </vt:variant>
      <vt:variant>
        <vt:lpwstr>_Toc242429997</vt:lpwstr>
      </vt:variant>
      <vt:variant>
        <vt:i4>1507387</vt:i4>
      </vt:variant>
      <vt:variant>
        <vt:i4>2</vt:i4>
      </vt:variant>
      <vt:variant>
        <vt:i4>0</vt:i4>
      </vt:variant>
      <vt:variant>
        <vt:i4>5</vt:i4>
      </vt:variant>
      <vt:variant>
        <vt:lpwstr/>
      </vt:variant>
      <vt:variant>
        <vt:lpwstr>_Toc242429996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kibernetske varnosti Republike Slovenije 2027–2035</dc:title>
  <dc:subject/>
  <dc:creator>Petra Bezjak Cirman</dc:creator>
  <cp:keywords/>
  <cp:lastModifiedBy>Petra Bezjak Cirman</cp:lastModifiedBy>
  <cp:revision>4</cp:revision>
  <cp:lastPrinted>2026-10-07T13:03:00Z</cp:lastPrinted>
  <dcterms:created xsi:type="dcterms:W3CDTF">2026-10-09T07:24:00Z</dcterms:created>
  <dcterms:modified xsi:type="dcterms:W3CDTF">2026-10-13T13:55:00Z</dcterms:modified>
</cp:coreProperties>
</file>