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F5CEC" w14:textId="32C2B821" w:rsidR="00211118" w:rsidRPr="004B3B38" w:rsidRDefault="00211118" w:rsidP="00211118">
      <w:pPr>
        <w:spacing w:before="20" w:after="20"/>
        <w:jc w:val="both"/>
        <w:rPr>
          <w:rFonts w:cs="Arial"/>
          <w:bCs/>
          <w:iCs/>
          <w:szCs w:val="20"/>
          <w:lang w:val="sl-SI"/>
        </w:rPr>
      </w:pPr>
    </w:p>
    <w:p w14:paraId="370B3B7D" w14:textId="0D597AAF" w:rsidR="00764069" w:rsidRPr="004B3B38" w:rsidRDefault="00764069" w:rsidP="00764069">
      <w:pPr>
        <w:spacing w:before="20" w:after="20"/>
        <w:jc w:val="right"/>
        <w:rPr>
          <w:rFonts w:cs="Arial"/>
          <w:bCs/>
          <w:iCs/>
          <w:szCs w:val="20"/>
          <w:lang w:val="sl-SI"/>
        </w:rPr>
      </w:pPr>
      <w:r w:rsidRPr="004B3B38">
        <w:rPr>
          <w:rFonts w:cs="Arial"/>
          <w:bCs/>
          <w:iCs/>
          <w:szCs w:val="20"/>
          <w:lang w:val="sl-SI"/>
        </w:rPr>
        <w:t xml:space="preserve">Datum: </w:t>
      </w:r>
      <w:r w:rsidR="00F2774E" w:rsidRPr="004B3B38">
        <w:rPr>
          <w:rFonts w:cs="Arial"/>
          <w:bCs/>
          <w:iCs/>
          <w:szCs w:val="20"/>
          <w:lang w:val="sl-SI"/>
        </w:rPr>
        <w:t>1</w:t>
      </w:r>
      <w:r w:rsidR="00F344A9" w:rsidRPr="004B3B38">
        <w:rPr>
          <w:rFonts w:cs="Arial"/>
          <w:bCs/>
          <w:iCs/>
          <w:szCs w:val="20"/>
          <w:lang w:val="sl-SI"/>
        </w:rPr>
        <w:t>4</w:t>
      </w:r>
      <w:r w:rsidRPr="004B3B38">
        <w:rPr>
          <w:rFonts w:cs="Arial"/>
          <w:bCs/>
          <w:iCs/>
          <w:szCs w:val="20"/>
          <w:lang w:val="sl-SI"/>
        </w:rPr>
        <w:t>. 10. 2025</w:t>
      </w:r>
    </w:p>
    <w:p w14:paraId="44F5F0B1" w14:textId="77777777" w:rsidR="00764069" w:rsidRPr="004B3B38" w:rsidRDefault="00764069" w:rsidP="00764069">
      <w:pPr>
        <w:spacing w:before="20" w:after="20"/>
        <w:jc w:val="both"/>
        <w:rPr>
          <w:rFonts w:cs="Arial"/>
          <w:bCs/>
          <w:iCs/>
          <w:szCs w:val="20"/>
          <w:lang w:val="sl-SI"/>
        </w:rPr>
      </w:pPr>
    </w:p>
    <w:p w14:paraId="2A1F9EAD" w14:textId="77777777" w:rsidR="00764069" w:rsidRPr="004B3B38" w:rsidRDefault="00764069" w:rsidP="00764069">
      <w:pPr>
        <w:spacing w:before="20" w:after="20"/>
        <w:jc w:val="both"/>
        <w:rPr>
          <w:rFonts w:cs="Arial"/>
          <w:bCs/>
          <w:iCs/>
          <w:szCs w:val="20"/>
          <w:lang w:val="sl-SI"/>
        </w:rPr>
      </w:pPr>
    </w:p>
    <w:p w14:paraId="1A172DAA" w14:textId="77777777" w:rsidR="00764069" w:rsidRPr="004B3B38" w:rsidRDefault="00764069" w:rsidP="00764069">
      <w:pPr>
        <w:spacing w:before="20" w:after="20"/>
        <w:jc w:val="both"/>
        <w:rPr>
          <w:rFonts w:cs="Arial"/>
          <w:b/>
          <w:iCs/>
          <w:szCs w:val="20"/>
          <w:lang w:val="sl-SI"/>
        </w:rPr>
      </w:pPr>
      <w:r w:rsidRPr="004B3B38">
        <w:rPr>
          <w:rFonts w:cs="Arial"/>
          <w:b/>
          <w:iCs/>
          <w:szCs w:val="20"/>
          <w:lang w:val="sl-SI"/>
        </w:rPr>
        <w:t>Osnutek opredelitve Republike Slovenije do zakonodajnega akta Evropske unije – javno posvetovanje</w:t>
      </w:r>
    </w:p>
    <w:p w14:paraId="731EA300" w14:textId="77777777" w:rsidR="000855C2" w:rsidRPr="004B3B38" w:rsidRDefault="000855C2" w:rsidP="00211118">
      <w:pPr>
        <w:spacing w:before="20" w:after="20"/>
        <w:jc w:val="both"/>
        <w:rPr>
          <w:rFonts w:cs="Arial"/>
          <w:bCs/>
          <w:iCs/>
          <w:szCs w:val="20"/>
          <w:lang w:val="sl-SI"/>
        </w:rPr>
      </w:pPr>
    </w:p>
    <w:p w14:paraId="48B941C5" w14:textId="77777777" w:rsidR="005F64ED" w:rsidRPr="004B3B38" w:rsidRDefault="005F64ED" w:rsidP="005F64ED">
      <w:pPr>
        <w:spacing w:before="20" w:after="20"/>
        <w:jc w:val="both"/>
        <w:rPr>
          <w:rFonts w:cs="Arial"/>
          <w:szCs w:val="20"/>
          <w:lang w:val="sl-SI"/>
        </w:rPr>
      </w:pPr>
    </w:p>
    <w:p w14:paraId="31D5C6FE" w14:textId="37C36DB4" w:rsidR="000855C2" w:rsidRPr="004B3B38" w:rsidRDefault="000855C2" w:rsidP="000855C2">
      <w:pPr>
        <w:spacing w:line="276" w:lineRule="auto"/>
        <w:jc w:val="both"/>
        <w:rPr>
          <w:rFonts w:cs="Arial"/>
          <w:b/>
          <w:szCs w:val="20"/>
          <w:lang w:val="sl-SI"/>
        </w:rPr>
      </w:pPr>
      <w:r w:rsidRPr="004B3B38">
        <w:rPr>
          <w:rFonts w:cs="Arial"/>
          <w:b/>
          <w:szCs w:val="20"/>
          <w:lang w:val="sl-SI"/>
        </w:rPr>
        <w:t xml:space="preserve">Naslov akt EU: </w:t>
      </w:r>
    </w:p>
    <w:p w14:paraId="5B1EC735" w14:textId="77777777" w:rsidR="000855C2" w:rsidRPr="004B3B38" w:rsidRDefault="000855C2" w:rsidP="000855C2">
      <w:pPr>
        <w:tabs>
          <w:tab w:val="left" w:pos="567"/>
        </w:tabs>
        <w:autoSpaceDE w:val="0"/>
        <w:autoSpaceDN w:val="0"/>
        <w:adjustRightInd w:val="0"/>
        <w:spacing w:line="276" w:lineRule="auto"/>
        <w:jc w:val="both"/>
        <w:rPr>
          <w:rFonts w:cs="Arial"/>
          <w:bCs/>
          <w:szCs w:val="20"/>
          <w:lang w:val="sl-SI"/>
        </w:rPr>
      </w:pPr>
    </w:p>
    <w:p w14:paraId="4A04D3F1" w14:textId="5164A3A3" w:rsidR="000855C2" w:rsidRPr="004B3B38" w:rsidRDefault="00E843F0" w:rsidP="000855C2">
      <w:pPr>
        <w:tabs>
          <w:tab w:val="left" w:pos="567"/>
        </w:tabs>
        <w:autoSpaceDE w:val="0"/>
        <w:autoSpaceDN w:val="0"/>
        <w:adjustRightInd w:val="0"/>
        <w:spacing w:line="276" w:lineRule="auto"/>
        <w:jc w:val="both"/>
        <w:rPr>
          <w:rFonts w:cs="Arial"/>
          <w:bCs/>
          <w:szCs w:val="20"/>
          <w:lang w:val="sl-SI"/>
        </w:rPr>
      </w:pPr>
      <w:proofErr w:type="spellStart"/>
      <w:r w:rsidRPr="004B3B38">
        <w:rPr>
          <w:rFonts w:cs="Arial"/>
          <w:bCs/>
          <w:szCs w:val="20"/>
          <w:lang w:val="sl-SI"/>
        </w:rPr>
        <w:t>Proposal</w:t>
      </w:r>
      <w:proofErr w:type="spellEnd"/>
      <w:r w:rsidRPr="004B3B38">
        <w:rPr>
          <w:rFonts w:cs="Arial"/>
          <w:bCs/>
          <w:szCs w:val="20"/>
          <w:lang w:val="sl-SI"/>
        </w:rPr>
        <w:t xml:space="preserve"> for a </w:t>
      </w:r>
      <w:proofErr w:type="spellStart"/>
      <w:r w:rsidRPr="004B3B38">
        <w:rPr>
          <w:rFonts w:cs="Arial"/>
          <w:bCs/>
          <w:szCs w:val="20"/>
          <w:lang w:val="sl-SI"/>
        </w:rPr>
        <w:t>Regulation</w:t>
      </w:r>
      <w:proofErr w:type="spellEnd"/>
      <w:r w:rsidRPr="004B3B38">
        <w:rPr>
          <w:rFonts w:cs="Arial"/>
          <w:bCs/>
          <w:szCs w:val="20"/>
          <w:lang w:val="sl-SI"/>
        </w:rPr>
        <w:t xml:space="preserve"> of </w:t>
      </w:r>
      <w:proofErr w:type="spellStart"/>
      <w:r w:rsidRPr="004B3B38">
        <w:rPr>
          <w:rFonts w:cs="Arial"/>
          <w:bCs/>
          <w:szCs w:val="20"/>
          <w:lang w:val="sl-SI"/>
        </w:rPr>
        <w:t>the</w:t>
      </w:r>
      <w:proofErr w:type="spellEnd"/>
      <w:r w:rsidRPr="004B3B38">
        <w:rPr>
          <w:rFonts w:cs="Arial"/>
          <w:bCs/>
          <w:szCs w:val="20"/>
          <w:lang w:val="sl-SI"/>
        </w:rPr>
        <w:t xml:space="preserve"> European </w:t>
      </w:r>
      <w:proofErr w:type="spellStart"/>
      <w:r w:rsidRPr="004B3B38">
        <w:rPr>
          <w:rFonts w:cs="Arial"/>
          <w:bCs/>
          <w:szCs w:val="20"/>
          <w:lang w:val="sl-SI"/>
        </w:rPr>
        <w:t>Parliament</w:t>
      </w:r>
      <w:proofErr w:type="spellEnd"/>
      <w:r w:rsidRPr="004B3B38">
        <w:rPr>
          <w:rFonts w:cs="Arial"/>
          <w:bCs/>
          <w:szCs w:val="20"/>
          <w:lang w:val="sl-SI"/>
        </w:rPr>
        <w:t xml:space="preserve"> and of </w:t>
      </w:r>
      <w:proofErr w:type="spellStart"/>
      <w:r w:rsidRPr="004B3B38">
        <w:rPr>
          <w:rFonts w:cs="Arial"/>
          <w:bCs/>
          <w:szCs w:val="20"/>
          <w:lang w:val="sl-SI"/>
        </w:rPr>
        <w:t>the</w:t>
      </w:r>
      <w:proofErr w:type="spellEnd"/>
      <w:r w:rsidRPr="004B3B38">
        <w:rPr>
          <w:rFonts w:cs="Arial"/>
          <w:bCs/>
          <w:szCs w:val="20"/>
          <w:lang w:val="sl-SI"/>
        </w:rPr>
        <w:t xml:space="preserve"> </w:t>
      </w:r>
      <w:proofErr w:type="spellStart"/>
      <w:r w:rsidRPr="004B3B38">
        <w:rPr>
          <w:rFonts w:cs="Arial"/>
          <w:bCs/>
          <w:szCs w:val="20"/>
          <w:lang w:val="sl-SI"/>
        </w:rPr>
        <w:t>Council</w:t>
      </w:r>
      <w:proofErr w:type="spellEnd"/>
      <w:r w:rsidRPr="004B3B38">
        <w:rPr>
          <w:rFonts w:cs="Arial"/>
          <w:bCs/>
          <w:szCs w:val="20"/>
          <w:lang w:val="sl-SI"/>
        </w:rPr>
        <w:t xml:space="preserve"> </w:t>
      </w:r>
      <w:proofErr w:type="spellStart"/>
      <w:r w:rsidRPr="004B3B38">
        <w:rPr>
          <w:rFonts w:cs="Arial"/>
          <w:bCs/>
          <w:szCs w:val="20"/>
          <w:lang w:val="sl-SI"/>
        </w:rPr>
        <w:t>establishing</w:t>
      </w:r>
      <w:proofErr w:type="spellEnd"/>
      <w:r w:rsidRPr="004B3B38">
        <w:rPr>
          <w:rFonts w:cs="Arial"/>
          <w:bCs/>
          <w:szCs w:val="20"/>
          <w:lang w:val="sl-SI"/>
        </w:rPr>
        <w:t xml:space="preserve"> </w:t>
      </w:r>
      <w:proofErr w:type="spellStart"/>
      <w:r w:rsidRPr="004B3B38">
        <w:rPr>
          <w:rFonts w:cs="Arial"/>
          <w:bCs/>
          <w:szCs w:val="20"/>
          <w:lang w:val="sl-SI"/>
        </w:rPr>
        <w:t>the</w:t>
      </w:r>
      <w:proofErr w:type="spellEnd"/>
      <w:r w:rsidRPr="004B3B38">
        <w:rPr>
          <w:rFonts w:cs="Arial"/>
          <w:bCs/>
          <w:szCs w:val="20"/>
          <w:lang w:val="sl-SI"/>
        </w:rPr>
        <w:t xml:space="preserve"> </w:t>
      </w:r>
      <w:proofErr w:type="spellStart"/>
      <w:r w:rsidRPr="004B3B38">
        <w:rPr>
          <w:rFonts w:cs="Arial"/>
          <w:bCs/>
          <w:szCs w:val="20"/>
          <w:lang w:val="sl-SI"/>
        </w:rPr>
        <w:t>conditions</w:t>
      </w:r>
      <w:proofErr w:type="spellEnd"/>
      <w:r w:rsidRPr="004B3B38">
        <w:rPr>
          <w:rFonts w:cs="Arial"/>
          <w:bCs/>
          <w:szCs w:val="20"/>
          <w:lang w:val="sl-SI"/>
        </w:rPr>
        <w:t xml:space="preserve"> for </w:t>
      </w:r>
      <w:proofErr w:type="spellStart"/>
      <w:r w:rsidRPr="004B3B38">
        <w:rPr>
          <w:rFonts w:cs="Arial"/>
          <w:bCs/>
          <w:szCs w:val="20"/>
          <w:lang w:val="sl-SI"/>
        </w:rPr>
        <w:t>the</w:t>
      </w:r>
      <w:proofErr w:type="spellEnd"/>
      <w:r w:rsidRPr="004B3B38">
        <w:rPr>
          <w:rFonts w:cs="Arial"/>
          <w:bCs/>
          <w:szCs w:val="20"/>
          <w:lang w:val="sl-SI"/>
        </w:rPr>
        <w:t xml:space="preserve"> </w:t>
      </w:r>
      <w:proofErr w:type="spellStart"/>
      <w:r w:rsidRPr="004B3B38">
        <w:rPr>
          <w:rFonts w:cs="Arial"/>
          <w:bCs/>
          <w:szCs w:val="20"/>
          <w:lang w:val="sl-SI"/>
        </w:rPr>
        <w:t>implementation</w:t>
      </w:r>
      <w:proofErr w:type="spellEnd"/>
      <w:r w:rsidRPr="004B3B38">
        <w:rPr>
          <w:rFonts w:cs="Arial"/>
          <w:bCs/>
          <w:szCs w:val="20"/>
          <w:lang w:val="sl-SI"/>
        </w:rPr>
        <w:t xml:space="preserve"> of </w:t>
      </w:r>
      <w:proofErr w:type="spellStart"/>
      <w:r w:rsidRPr="004B3B38">
        <w:rPr>
          <w:rFonts w:cs="Arial"/>
          <w:bCs/>
          <w:szCs w:val="20"/>
          <w:lang w:val="sl-SI"/>
        </w:rPr>
        <w:t>the</w:t>
      </w:r>
      <w:proofErr w:type="spellEnd"/>
      <w:r w:rsidRPr="004B3B38">
        <w:rPr>
          <w:rFonts w:cs="Arial"/>
          <w:bCs/>
          <w:szCs w:val="20"/>
          <w:lang w:val="sl-SI"/>
        </w:rPr>
        <w:t xml:space="preserve"> Union </w:t>
      </w:r>
      <w:proofErr w:type="spellStart"/>
      <w:r w:rsidRPr="004B3B38">
        <w:rPr>
          <w:rFonts w:cs="Arial"/>
          <w:bCs/>
          <w:szCs w:val="20"/>
          <w:lang w:val="sl-SI"/>
        </w:rPr>
        <w:t>support</w:t>
      </w:r>
      <w:proofErr w:type="spellEnd"/>
      <w:r w:rsidRPr="004B3B38">
        <w:rPr>
          <w:rFonts w:cs="Arial"/>
          <w:bCs/>
          <w:szCs w:val="20"/>
          <w:lang w:val="sl-SI"/>
        </w:rPr>
        <w:t xml:space="preserve"> to </w:t>
      </w:r>
      <w:proofErr w:type="spellStart"/>
      <w:r w:rsidRPr="004B3B38">
        <w:rPr>
          <w:rFonts w:cs="Arial"/>
          <w:bCs/>
          <w:szCs w:val="20"/>
          <w:lang w:val="sl-SI"/>
        </w:rPr>
        <w:t>the</w:t>
      </w:r>
      <w:proofErr w:type="spellEnd"/>
      <w:r w:rsidRPr="004B3B38">
        <w:rPr>
          <w:rFonts w:cs="Arial"/>
          <w:bCs/>
          <w:szCs w:val="20"/>
          <w:lang w:val="sl-SI"/>
        </w:rPr>
        <w:t xml:space="preserve"> </w:t>
      </w:r>
      <w:proofErr w:type="spellStart"/>
      <w:r w:rsidRPr="004B3B38">
        <w:rPr>
          <w:rFonts w:cs="Arial"/>
          <w:bCs/>
          <w:szCs w:val="20"/>
          <w:lang w:val="sl-SI"/>
        </w:rPr>
        <w:t>Common</w:t>
      </w:r>
      <w:proofErr w:type="spellEnd"/>
      <w:r w:rsidRPr="004B3B38">
        <w:rPr>
          <w:rFonts w:cs="Arial"/>
          <w:bCs/>
          <w:szCs w:val="20"/>
          <w:lang w:val="sl-SI"/>
        </w:rPr>
        <w:t xml:space="preserve"> Agriculture </w:t>
      </w:r>
      <w:proofErr w:type="spellStart"/>
      <w:r w:rsidRPr="004B3B38">
        <w:rPr>
          <w:rFonts w:cs="Arial"/>
          <w:bCs/>
          <w:szCs w:val="20"/>
          <w:lang w:val="sl-SI"/>
        </w:rPr>
        <w:t>Policy</w:t>
      </w:r>
      <w:proofErr w:type="spellEnd"/>
      <w:r w:rsidRPr="004B3B38">
        <w:rPr>
          <w:rFonts w:cs="Arial"/>
          <w:bCs/>
          <w:szCs w:val="20"/>
          <w:lang w:val="sl-SI"/>
        </w:rPr>
        <w:t xml:space="preserve"> for </w:t>
      </w:r>
      <w:proofErr w:type="spellStart"/>
      <w:r w:rsidRPr="004B3B38">
        <w:rPr>
          <w:rFonts w:cs="Arial"/>
          <w:bCs/>
          <w:szCs w:val="20"/>
          <w:lang w:val="sl-SI"/>
        </w:rPr>
        <w:t>the</w:t>
      </w:r>
      <w:proofErr w:type="spellEnd"/>
      <w:r w:rsidRPr="004B3B38">
        <w:rPr>
          <w:rFonts w:cs="Arial"/>
          <w:bCs/>
          <w:szCs w:val="20"/>
          <w:lang w:val="sl-SI"/>
        </w:rPr>
        <w:t xml:space="preserve"> period </w:t>
      </w:r>
      <w:proofErr w:type="spellStart"/>
      <w:r w:rsidRPr="004B3B38">
        <w:rPr>
          <w:rFonts w:cs="Arial"/>
          <w:bCs/>
          <w:szCs w:val="20"/>
          <w:lang w:val="sl-SI"/>
        </w:rPr>
        <w:t>from</w:t>
      </w:r>
      <w:proofErr w:type="spellEnd"/>
      <w:r w:rsidRPr="004B3B38">
        <w:rPr>
          <w:rFonts w:cs="Arial"/>
          <w:bCs/>
          <w:szCs w:val="20"/>
          <w:lang w:val="sl-SI"/>
        </w:rPr>
        <w:t xml:space="preserve"> 2028 to 2034</w:t>
      </w:r>
    </w:p>
    <w:p w14:paraId="1CE6870C" w14:textId="476118FB" w:rsidR="00E843F0" w:rsidRPr="004B3B38" w:rsidRDefault="00E843F0" w:rsidP="000855C2">
      <w:pPr>
        <w:tabs>
          <w:tab w:val="left" w:pos="567"/>
        </w:tabs>
        <w:autoSpaceDE w:val="0"/>
        <w:autoSpaceDN w:val="0"/>
        <w:adjustRightInd w:val="0"/>
        <w:spacing w:line="276" w:lineRule="auto"/>
        <w:jc w:val="both"/>
        <w:rPr>
          <w:rFonts w:cs="Arial"/>
          <w:b/>
          <w:szCs w:val="20"/>
          <w:lang w:val="sl-SI"/>
        </w:rPr>
      </w:pPr>
    </w:p>
    <w:p w14:paraId="3E2B0F92" w14:textId="5C945AE5" w:rsidR="00E843F0" w:rsidRPr="004B3B38" w:rsidRDefault="00FE2F0B" w:rsidP="000855C2">
      <w:pPr>
        <w:tabs>
          <w:tab w:val="left" w:pos="567"/>
        </w:tabs>
        <w:autoSpaceDE w:val="0"/>
        <w:autoSpaceDN w:val="0"/>
        <w:adjustRightInd w:val="0"/>
        <w:spacing w:line="276" w:lineRule="auto"/>
        <w:jc w:val="both"/>
        <w:rPr>
          <w:rFonts w:cs="Arial"/>
          <w:bCs/>
          <w:szCs w:val="20"/>
          <w:lang w:val="sl-SI"/>
        </w:rPr>
      </w:pPr>
      <w:hyperlink r:id="rId8" w:history="1">
        <w:r w:rsidR="00E843F0" w:rsidRPr="004B3B38">
          <w:rPr>
            <w:rStyle w:val="Hiperpovezava"/>
            <w:rFonts w:cs="Arial"/>
            <w:bCs/>
            <w:color w:val="auto"/>
            <w:szCs w:val="20"/>
            <w:lang w:val="sl-SI"/>
          </w:rPr>
          <w:t>https://eur-lex.europa.eu/legal-content/EN/TXT/?uri=celex:52025PC0560</w:t>
        </w:r>
      </w:hyperlink>
    </w:p>
    <w:p w14:paraId="03A5CA78" w14:textId="77777777" w:rsidR="00E843F0" w:rsidRPr="004B3B38" w:rsidRDefault="00E843F0" w:rsidP="000855C2">
      <w:pPr>
        <w:tabs>
          <w:tab w:val="left" w:pos="567"/>
        </w:tabs>
        <w:autoSpaceDE w:val="0"/>
        <w:autoSpaceDN w:val="0"/>
        <w:adjustRightInd w:val="0"/>
        <w:spacing w:line="276" w:lineRule="auto"/>
        <w:jc w:val="both"/>
        <w:rPr>
          <w:rFonts w:cs="Arial"/>
          <w:b/>
          <w:szCs w:val="20"/>
          <w:lang w:val="sl-SI"/>
        </w:rPr>
      </w:pPr>
    </w:p>
    <w:p w14:paraId="5A22638D" w14:textId="108B0BFC" w:rsidR="000855C2" w:rsidRPr="004B3B38" w:rsidRDefault="00E843F0" w:rsidP="00E843F0">
      <w:pPr>
        <w:tabs>
          <w:tab w:val="left" w:pos="567"/>
        </w:tabs>
        <w:autoSpaceDE w:val="0"/>
        <w:autoSpaceDN w:val="0"/>
        <w:adjustRightInd w:val="0"/>
        <w:spacing w:line="276" w:lineRule="auto"/>
        <w:jc w:val="both"/>
        <w:rPr>
          <w:rFonts w:cs="Arial"/>
          <w:bCs/>
          <w:szCs w:val="20"/>
          <w:lang w:val="sl-SI"/>
        </w:rPr>
      </w:pPr>
      <w:r w:rsidRPr="004B3B38">
        <w:rPr>
          <w:rFonts w:cs="Arial"/>
          <w:bCs/>
          <w:szCs w:val="20"/>
          <w:lang w:val="sl-SI"/>
        </w:rPr>
        <w:t>Predlog uredbe Evropskega parlamenta in Sveta o vzpostavitvi pogojev za izvajanje podpore Unije skupni kmetijski politiki za obdobje 2028–2034</w:t>
      </w:r>
    </w:p>
    <w:p w14:paraId="4EBE7B9B" w14:textId="77777777" w:rsidR="00E843F0" w:rsidRPr="004B3B38" w:rsidRDefault="00E843F0" w:rsidP="000855C2">
      <w:pPr>
        <w:tabs>
          <w:tab w:val="left" w:pos="567"/>
        </w:tabs>
        <w:autoSpaceDE w:val="0"/>
        <w:autoSpaceDN w:val="0"/>
        <w:adjustRightInd w:val="0"/>
        <w:spacing w:line="276" w:lineRule="auto"/>
        <w:jc w:val="both"/>
        <w:rPr>
          <w:rFonts w:cs="Arial"/>
          <w:bCs/>
          <w:szCs w:val="20"/>
          <w:lang w:val="sl-SI"/>
        </w:rPr>
      </w:pPr>
    </w:p>
    <w:p w14:paraId="0EC44CBE" w14:textId="1608129B" w:rsidR="00E843F0" w:rsidRPr="004B3B38" w:rsidRDefault="00FE2F0B" w:rsidP="000855C2">
      <w:pPr>
        <w:tabs>
          <w:tab w:val="left" w:pos="567"/>
        </w:tabs>
        <w:autoSpaceDE w:val="0"/>
        <w:autoSpaceDN w:val="0"/>
        <w:adjustRightInd w:val="0"/>
        <w:spacing w:line="276" w:lineRule="auto"/>
        <w:jc w:val="both"/>
        <w:rPr>
          <w:rFonts w:cs="Arial"/>
          <w:bCs/>
          <w:szCs w:val="20"/>
          <w:lang w:val="sl-SI"/>
        </w:rPr>
      </w:pPr>
      <w:hyperlink r:id="rId9" w:history="1">
        <w:r w:rsidR="00E843F0" w:rsidRPr="004B3B38">
          <w:rPr>
            <w:rStyle w:val="Hiperpovezava"/>
            <w:rFonts w:cs="Arial"/>
            <w:bCs/>
            <w:color w:val="auto"/>
            <w:szCs w:val="20"/>
            <w:lang w:val="sl-SI"/>
          </w:rPr>
          <w:t>https://eur-lex.europa.eu/legal-content/SL/TXT/DOC/?uri=CELEX:52025PC0560</w:t>
        </w:r>
      </w:hyperlink>
    </w:p>
    <w:p w14:paraId="5391ABC3" w14:textId="77777777" w:rsidR="00E843F0" w:rsidRPr="004B3B38" w:rsidRDefault="00E843F0" w:rsidP="000855C2">
      <w:pPr>
        <w:tabs>
          <w:tab w:val="left" w:pos="567"/>
        </w:tabs>
        <w:autoSpaceDE w:val="0"/>
        <w:autoSpaceDN w:val="0"/>
        <w:adjustRightInd w:val="0"/>
        <w:spacing w:line="276" w:lineRule="auto"/>
        <w:jc w:val="both"/>
        <w:rPr>
          <w:rFonts w:cs="Arial"/>
          <w:b/>
          <w:szCs w:val="20"/>
          <w:lang w:val="sl-SI"/>
        </w:rPr>
      </w:pPr>
    </w:p>
    <w:p w14:paraId="31B900A1" w14:textId="5F546449" w:rsidR="000855C2" w:rsidRPr="004B3B38" w:rsidRDefault="000855C2" w:rsidP="000855C2">
      <w:pPr>
        <w:spacing w:line="276" w:lineRule="auto"/>
        <w:rPr>
          <w:rFonts w:cs="Arial"/>
          <w:b/>
          <w:szCs w:val="20"/>
          <w:lang w:val="sl-SI"/>
        </w:rPr>
      </w:pPr>
      <w:r w:rsidRPr="004B3B38">
        <w:rPr>
          <w:rFonts w:cs="Arial"/>
          <w:b/>
          <w:szCs w:val="20"/>
          <w:lang w:val="sl-SI"/>
        </w:rPr>
        <w:t>Opredelitev:</w:t>
      </w:r>
    </w:p>
    <w:p w14:paraId="2159EB7E" w14:textId="77777777" w:rsidR="000855C2" w:rsidRPr="004B3B38" w:rsidRDefault="000855C2" w:rsidP="000855C2">
      <w:pPr>
        <w:spacing w:line="276" w:lineRule="auto"/>
        <w:rPr>
          <w:rFonts w:cs="Arial"/>
          <w:b/>
          <w:szCs w:val="20"/>
          <w:lang w:val="sl-SI"/>
        </w:rPr>
      </w:pPr>
    </w:p>
    <w:p w14:paraId="0E95082B" w14:textId="77777777" w:rsidR="00FE2F0B" w:rsidRPr="00AA3DFF" w:rsidRDefault="00FE2F0B" w:rsidP="00FE2F0B">
      <w:pPr>
        <w:spacing w:before="20" w:after="20"/>
        <w:jc w:val="both"/>
        <w:rPr>
          <w:rFonts w:cs="Arial"/>
          <w:szCs w:val="20"/>
          <w:lang w:val="sl-SI"/>
        </w:rPr>
      </w:pPr>
      <w:r w:rsidRPr="00AA3DFF">
        <w:rPr>
          <w:rFonts w:cs="Arial"/>
          <w:szCs w:val="20"/>
          <w:lang w:val="sl-SI"/>
        </w:rPr>
        <w:t>Republika Slovenija pozdravlja namen in cilje Predloga</w:t>
      </w:r>
      <w:r w:rsidRPr="00AA3DFF">
        <w:rPr>
          <w:lang w:val="sl-SI"/>
        </w:rPr>
        <w:t xml:space="preserve"> uredbe Evropskega parlamenta in Sveta o vzpostavitvi pogojev za izvajanje podpore Unije skupni kmetijski politiki za obdobje 2028–2034</w:t>
      </w:r>
      <w:r w:rsidRPr="00AA3DFF">
        <w:rPr>
          <w:rFonts w:cs="Arial"/>
          <w:szCs w:val="20"/>
          <w:lang w:val="sl-SI"/>
        </w:rPr>
        <w:t>, zlasti v luči prizadevanj za krepitev konkurenčnosti evropskega kmetijstva.</w:t>
      </w:r>
    </w:p>
    <w:p w14:paraId="0667005D" w14:textId="77777777" w:rsidR="00FE2F0B" w:rsidRPr="00AA3DFF" w:rsidRDefault="00FE2F0B" w:rsidP="00FE2F0B">
      <w:pPr>
        <w:spacing w:before="20" w:after="20"/>
        <w:jc w:val="both"/>
        <w:rPr>
          <w:rFonts w:cs="Arial"/>
          <w:szCs w:val="20"/>
          <w:lang w:val="sl-SI"/>
        </w:rPr>
      </w:pPr>
    </w:p>
    <w:p w14:paraId="38859FBD" w14:textId="77777777" w:rsidR="00FE2F0B" w:rsidRPr="00AA3DFF" w:rsidRDefault="00FE2F0B" w:rsidP="00FE2F0B">
      <w:pPr>
        <w:spacing w:before="20" w:after="20"/>
        <w:jc w:val="both"/>
        <w:rPr>
          <w:rFonts w:cs="Arial"/>
          <w:szCs w:val="20"/>
          <w:lang w:val="sl-SI"/>
        </w:rPr>
      </w:pPr>
      <w:r w:rsidRPr="00AA3DFF">
        <w:rPr>
          <w:rFonts w:cs="Arial"/>
          <w:szCs w:val="20"/>
          <w:lang w:val="sl-SI"/>
        </w:rPr>
        <w:t xml:space="preserve">V razpravah bo Republika Slovenija zagovarjala stališča, s katerimi si bo prizadevala za oblikovanje rešitev, primernih za dolgoročen razvoj slovenskega kmetijstva in vitalnost podeželja. Pri tem opozarja na nujnost ustreznega upoštevanja raznolikosti kmetijskih, </w:t>
      </w:r>
      <w:proofErr w:type="spellStart"/>
      <w:r w:rsidRPr="00AA3DFF">
        <w:rPr>
          <w:rFonts w:cs="Arial"/>
          <w:szCs w:val="20"/>
          <w:lang w:val="sl-SI"/>
        </w:rPr>
        <w:t>okoljskih</w:t>
      </w:r>
      <w:proofErr w:type="spellEnd"/>
      <w:r w:rsidRPr="00AA3DFF">
        <w:rPr>
          <w:rFonts w:cs="Arial"/>
          <w:szCs w:val="20"/>
          <w:lang w:val="sl-SI"/>
        </w:rPr>
        <w:t xml:space="preserve"> in socialno-ekonomskih razmer znotraj EU.</w:t>
      </w:r>
    </w:p>
    <w:p w14:paraId="794DF916" w14:textId="77777777" w:rsidR="00FE2F0B" w:rsidRPr="00AA3DFF" w:rsidRDefault="00FE2F0B" w:rsidP="00FE2F0B">
      <w:pPr>
        <w:spacing w:before="20" w:after="20"/>
        <w:jc w:val="both"/>
        <w:rPr>
          <w:rFonts w:cs="Arial"/>
          <w:szCs w:val="20"/>
          <w:lang w:val="sl-SI"/>
        </w:rPr>
      </w:pPr>
    </w:p>
    <w:p w14:paraId="3F59C29E" w14:textId="77777777" w:rsidR="00FE2F0B" w:rsidRPr="00AA3DFF" w:rsidRDefault="00FE2F0B" w:rsidP="00FE2F0B">
      <w:pPr>
        <w:spacing w:before="20" w:after="20"/>
        <w:jc w:val="both"/>
        <w:rPr>
          <w:rFonts w:cs="Arial"/>
          <w:szCs w:val="20"/>
          <w:lang w:val="sl-SI"/>
        </w:rPr>
      </w:pPr>
      <w:r w:rsidRPr="00AA3DFF">
        <w:rPr>
          <w:rFonts w:cs="Arial"/>
          <w:szCs w:val="20"/>
          <w:lang w:val="sl-SI"/>
        </w:rPr>
        <w:t>Za Republiko Slovenijo je ključnega pomena oblikovanje pravične, trajnostne in konkurenčne skupne kmetijske politike (SKP), ki bo državam članicam v okviru  SKP zagotavljala ustrezno prožnost za prilagajanje nacionalnim posebnostim ter ustrezno naslavljala potrebe slovenskega kmetijstva, razvoja podeželja in območij z naravnimi omejitvami, hkrati pa podpirala prizadevanja za prehod na trajnostne kmetijsko-prehranske sisteme.</w:t>
      </w:r>
    </w:p>
    <w:p w14:paraId="718C0A87" w14:textId="77777777" w:rsidR="00FE2F0B" w:rsidRPr="00AA3DFF" w:rsidRDefault="00FE2F0B" w:rsidP="00FE2F0B">
      <w:pPr>
        <w:spacing w:before="20" w:after="20"/>
        <w:jc w:val="both"/>
        <w:rPr>
          <w:rFonts w:cs="Arial"/>
          <w:szCs w:val="20"/>
          <w:lang w:val="sl-SI"/>
        </w:rPr>
      </w:pPr>
    </w:p>
    <w:p w14:paraId="247CC2CC" w14:textId="77777777" w:rsidR="00FE2F0B" w:rsidRPr="00AA3DFF" w:rsidRDefault="00FE2F0B" w:rsidP="00FE2F0B">
      <w:pPr>
        <w:spacing w:before="20" w:after="20"/>
        <w:jc w:val="both"/>
        <w:rPr>
          <w:rFonts w:cs="Arial"/>
          <w:szCs w:val="20"/>
          <w:lang w:val="sl-SI"/>
        </w:rPr>
      </w:pPr>
      <w:r w:rsidRPr="00AA3DFF">
        <w:rPr>
          <w:rFonts w:cs="Arial"/>
          <w:szCs w:val="20"/>
          <w:lang w:val="sl-SI"/>
        </w:rPr>
        <w:t>Republika Slovenija pozdravlja vključitev splošnih ciljev SKP, kot so določeni v Pogodbi o delovanju EU, ter predlagan</w:t>
      </w:r>
      <w:r>
        <w:rPr>
          <w:rFonts w:cs="Arial"/>
          <w:szCs w:val="20"/>
          <w:lang w:val="sl-SI"/>
        </w:rPr>
        <w:t>e</w:t>
      </w:r>
      <w:r w:rsidRPr="00AA3DFF">
        <w:rPr>
          <w:rFonts w:cs="Arial"/>
          <w:szCs w:val="20"/>
          <w:lang w:val="sl-SI"/>
        </w:rPr>
        <w:t xml:space="preserve"> specifičn</w:t>
      </w:r>
      <w:r>
        <w:rPr>
          <w:rFonts w:cs="Arial"/>
          <w:szCs w:val="20"/>
          <w:lang w:val="sl-SI"/>
        </w:rPr>
        <w:t>e</w:t>
      </w:r>
      <w:r w:rsidRPr="00AA3DFF">
        <w:rPr>
          <w:rFonts w:cs="Arial"/>
          <w:szCs w:val="20"/>
          <w:lang w:val="sl-SI"/>
        </w:rPr>
        <w:t xml:space="preserve"> cilje.</w:t>
      </w:r>
    </w:p>
    <w:p w14:paraId="6149D95C" w14:textId="77777777" w:rsidR="00FE2F0B" w:rsidRPr="00AA3DFF" w:rsidRDefault="00FE2F0B" w:rsidP="00FE2F0B">
      <w:pPr>
        <w:spacing w:before="20" w:after="20"/>
        <w:jc w:val="both"/>
        <w:rPr>
          <w:rFonts w:cs="Arial"/>
          <w:szCs w:val="20"/>
          <w:lang w:val="sl-SI"/>
        </w:rPr>
      </w:pPr>
    </w:p>
    <w:p w14:paraId="692482AC" w14:textId="77777777" w:rsidR="00FE2F0B" w:rsidRPr="00AA3DFF" w:rsidRDefault="00FE2F0B" w:rsidP="00FE2F0B">
      <w:pPr>
        <w:spacing w:before="20" w:after="20"/>
        <w:jc w:val="both"/>
        <w:rPr>
          <w:rFonts w:cs="Arial"/>
          <w:szCs w:val="20"/>
          <w:lang w:val="sl-SI"/>
        </w:rPr>
      </w:pPr>
      <w:r w:rsidRPr="00AA3DFF">
        <w:rPr>
          <w:rFonts w:cs="Arial"/>
          <w:szCs w:val="20"/>
          <w:lang w:val="sl-SI"/>
        </w:rPr>
        <w:t xml:space="preserve">Pomembno je, da se ohranja obstoječi izvedbeni model, ki državam članicam omogoča potrebno prožnost za naslavljanje posebnosti nacionalnih kmetijsko-prehranskih sistemov. Glede priporočil EK </w:t>
      </w:r>
      <w:r w:rsidRPr="00AA3DFF">
        <w:rPr>
          <w:rFonts w:cs="Arial"/>
          <w:bCs/>
          <w:szCs w:val="20"/>
          <w:lang w:val="sl-SI"/>
        </w:rPr>
        <w:t xml:space="preserve">je </w:t>
      </w:r>
      <w:r w:rsidRPr="00AA3DFF">
        <w:rPr>
          <w:rFonts w:cs="Arial"/>
          <w:szCs w:val="20"/>
          <w:lang w:val="sl-SI"/>
        </w:rPr>
        <w:t xml:space="preserve">pomembno, da ne bodo omejevala te prožnosti. </w:t>
      </w:r>
    </w:p>
    <w:p w14:paraId="38B60209" w14:textId="77777777" w:rsidR="00FE2F0B" w:rsidRPr="00AA3DFF" w:rsidRDefault="00FE2F0B" w:rsidP="00FE2F0B">
      <w:pPr>
        <w:spacing w:before="20" w:after="20"/>
        <w:jc w:val="both"/>
        <w:rPr>
          <w:rFonts w:cs="Arial"/>
          <w:szCs w:val="20"/>
          <w:lang w:val="sl-SI"/>
        </w:rPr>
      </w:pPr>
    </w:p>
    <w:p w14:paraId="3978EF48" w14:textId="77777777" w:rsidR="00FE2F0B" w:rsidRPr="00AA3DFF" w:rsidRDefault="00FE2F0B" w:rsidP="00FE2F0B">
      <w:pPr>
        <w:spacing w:before="20" w:after="20"/>
        <w:jc w:val="both"/>
        <w:rPr>
          <w:rFonts w:cs="Arial"/>
          <w:szCs w:val="20"/>
          <w:lang w:val="sl-SI"/>
        </w:rPr>
      </w:pPr>
      <w:r w:rsidRPr="00AA3DFF">
        <w:rPr>
          <w:rFonts w:cs="Arial"/>
          <w:szCs w:val="20"/>
          <w:lang w:val="sl-SI"/>
        </w:rPr>
        <w:t>Republika Slovenija pozdravlja ohranitev nabora ključnih ukrepov SKP iz sedanjega programskega obdobja ter njihovo obravnavo kot dohodkovnih ukrepov SKP. Zlasti pomembno je, da s</w:t>
      </w:r>
      <w:r>
        <w:rPr>
          <w:rFonts w:cs="Arial"/>
          <w:szCs w:val="20"/>
          <w:lang w:val="sl-SI"/>
        </w:rPr>
        <w:t>e ohranja</w:t>
      </w:r>
      <w:r w:rsidRPr="00AA3DFF">
        <w:rPr>
          <w:rFonts w:cs="Arial"/>
          <w:szCs w:val="20"/>
          <w:lang w:val="sl-SI"/>
        </w:rPr>
        <w:t xml:space="preserve"> plačila na površino kot je degresivna dohodkovna podpora in </w:t>
      </w:r>
      <w:r>
        <w:rPr>
          <w:rFonts w:cs="Arial"/>
          <w:szCs w:val="20"/>
          <w:lang w:val="sl-SI"/>
        </w:rPr>
        <w:t xml:space="preserve">proizvodno </w:t>
      </w:r>
      <w:r w:rsidRPr="00AA3DFF">
        <w:rPr>
          <w:rFonts w:cs="Arial"/>
          <w:szCs w:val="20"/>
          <w:lang w:val="sl-SI"/>
        </w:rPr>
        <w:t xml:space="preserve">vezane </w:t>
      </w:r>
      <w:r w:rsidRPr="00AA3DFF">
        <w:rPr>
          <w:rFonts w:cs="Arial"/>
          <w:szCs w:val="20"/>
          <w:lang w:val="sl-SI"/>
        </w:rPr>
        <w:lastRenderedPageBreak/>
        <w:t>podpore, za katere je tudi v prihodnjem programskem obdobju predlagano financiranje izključno z EU sredstvi, in plačilo za območja z naravnimi in drugimi omejitvami (OMD plačilo), kmetijsko-</w:t>
      </w:r>
      <w:proofErr w:type="spellStart"/>
      <w:r w:rsidRPr="00AA3DFF">
        <w:rPr>
          <w:rFonts w:cs="Arial"/>
          <w:szCs w:val="20"/>
          <w:lang w:val="sl-SI"/>
        </w:rPr>
        <w:t>okoljsko</w:t>
      </w:r>
      <w:proofErr w:type="spellEnd"/>
      <w:r w:rsidRPr="00AA3DFF">
        <w:rPr>
          <w:rFonts w:cs="Arial"/>
          <w:szCs w:val="20"/>
          <w:lang w:val="sl-SI"/>
        </w:rPr>
        <w:t>-podnebna plačila, naložbene podpore za kmete in imetnike gozdov ter podpore za mlade kmete. Novo poimenovanje zadevnih ukrepov kot dohodkovnih razumemo le v smislu izražanja, kdo je upravičenec, brez poseganja na področje davčne politike v pristojnosti držav članic.</w:t>
      </w:r>
    </w:p>
    <w:p w14:paraId="6F807917" w14:textId="77777777" w:rsidR="00FE2F0B" w:rsidRPr="00AA3DFF" w:rsidRDefault="00FE2F0B" w:rsidP="00FE2F0B">
      <w:pPr>
        <w:spacing w:before="20" w:after="20"/>
        <w:jc w:val="both"/>
        <w:rPr>
          <w:rFonts w:cs="Arial"/>
          <w:szCs w:val="20"/>
          <w:lang w:val="sl-SI"/>
        </w:rPr>
      </w:pPr>
    </w:p>
    <w:p w14:paraId="2EB262B0" w14:textId="77777777" w:rsidR="00FE2F0B" w:rsidRPr="00AA3DFF" w:rsidRDefault="00FE2F0B" w:rsidP="00FE2F0B">
      <w:pPr>
        <w:spacing w:before="20" w:after="20"/>
        <w:jc w:val="both"/>
        <w:rPr>
          <w:rFonts w:cs="Arial"/>
          <w:szCs w:val="20"/>
          <w:lang w:val="sl-SI"/>
        </w:rPr>
      </w:pPr>
      <w:r w:rsidRPr="00AA3DFF">
        <w:rPr>
          <w:rFonts w:cs="Arial"/>
          <w:szCs w:val="20"/>
          <w:lang w:val="sl-SI"/>
        </w:rPr>
        <w:t xml:space="preserve">Pozdravljamo tudi dodajanje nekaterih novih ukrepov, zlasti storitev nadomeščanja na kmetijskih gospodarstvih. </w:t>
      </w:r>
    </w:p>
    <w:p w14:paraId="0C80D32E" w14:textId="77777777" w:rsidR="00FE2F0B" w:rsidRPr="00AA3DFF" w:rsidRDefault="00FE2F0B" w:rsidP="00FE2F0B">
      <w:pPr>
        <w:spacing w:before="20" w:after="20"/>
        <w:jc w:val="both"/>
        <w:rPr>
          <w:rFonts w:cs="Arial"/>
          <w:szCs w:val="20"/>
          <w:lang w:val="sl-SI"/>
        </w:rPr>
      </w:pPr>
    </w:p>
    <w:p w14:paraId="45324C00" w14:textId="77777777" w:rsidR="00FE2F0B" w:rsidRPr="00AA3DFF" w:rsidRDefault="00FE2F0B" w:rsidP="00FE2F0B">
      <w:pPr>
        <w:spacing w:before="20" w:after="20"/>
        <w:jc w:val="both"/>
        <w:rPr>
          <w:rFonts w:cs="Arial"/>
          <w:szCs w:val="20"/>
          <w:lang w:val="sl-SI"/>
        </w:rPr>
      </w:pPr>
      <w:r w:rsidRPr="00AA3DFF">
        <w:rPr>
          <w:rFonts w:cs="Arial"/>
          <w:szCs w:val="20"/>
          <w:lang w:val="sl-SI"/>
        </w:rPr>
        <w:t xml:space="preserve">Ob hkratni potrebi po zadostni prožnosti in upoštevanju posebnosti držav članic Republika Slovenija opozarja, da bo treba tekom obravnave nasloviti nekatera odprta vprašanja, ki se nanašajo na elemente ciljno usmerjene degresivne dohodkovne podpore na površino, zlasti način diferenciacije, ter na obvezno uvedbo plačila za majhne kmetije. Večja ciljnost in pravičnost dohodkovne podpore na površino kmetom, vključno z degresivnostjo in kapico, je korak v pravo smer. Vendar je treba proučiti, ali  smiselno, da se </w:t>
      </w:r>
      <w:r>
        <w:rPr>
          <w:rFonts w:cs="Arial"/>
          <w:szCs w:val="20"/>
          <w:lang w:val="sl-SI"/>
        </w:rPr>
        <w:t xml:space="preserve">te mehanizme opredeljuje na ravni EU za vse države članice </w:t>
      </w:r>
      <w:r w:rsidRPr="00AA3DFF">
        <w:rPr>
          <w:rFonts w:cs="Arial"/>
          <w:szCs w:val="20"/>
          <w:lang w:val="sl-SI"/>
        </w:rPr>
        <w:t>in s tem omejuje prožnost države članice</w:t>
      </w:r>
      <w:r>
        <w:rPr>
          <w:rFonts w:cs="Arial"/>
          <w:szCs w:val="20"/>
          <w:lang w:val="sl-SI"/>
        </w:rPr>
        <w:t xml:space="preserve">, da uporabi tiste, ki so najbolj </w:t>
      </w:r>
      <w:r w:rsidRPr="00AA3DFF">
        <w:rPr>
          <w:rFonts w:cs="Arial"/>
          <w:szCs w:val="20"/>
          <w:lang w:val="sl-SI"/>
        </w:rPr>
        <w:t>prilago</w:t>
      </w:r>
      <w:r>
        <w:rPr>
          <w:rFonts w:cs="Arial"/>
          <w:szCs w:val="20"/>
          <w:lang w:val="sl-SI"/>
        </w:rPr>
        <w:t>jene</w:t>
      </w:r>
      <w:r w:rsidRPr="00AA3DFF">
        <w:rPr>
          <w:rFonts w:cs="Arial"/>
          <w:szCs w:val="20"/>
          <w:lang w:val="sl-SI"/>
        </w:rPr>
        <w:t xml:space="preserve"> posebnostim strukture kmetijstva. </w:t>
      </w:r>
      <w:r>
        <w:rPr>
          <w:rFonts w:cs="Arial"/>
          <w:szCs w:val="20"/>
          <w:lang w:val="sl-SI"/>
        </w:rPr>
        <w:t xml:space="preserve">Ob upoštevanju navedenega </w:t>
      </w:r>
      <w:r w:rsidRPr="00AA3DFF">
        <w:rPr>
          <w:rFonts w:cs="Arial"/>
          <w:szCs w:val="20"/>
          <w:lang w:val="sl-SI"/>
        </w:rPr>
        <w:t xml:space="preserve">Slovenija ne </w:t>
      </w:r>
      <w:r>
        <w:rPr>
          <w:rFonts w:cs="Arial"/>
          <w:szCs w:val="20"/>
          <w:lang w:val="sl-SI"/>
        </w:rPr>
        <w:t>podpira</w:t>
      </w:r>
      <w:r w:rsidRPr="00AA3DFF">
        <w:rPr>
          <w:rFonts w:cs="Arial"/>
          <w:szCs w:val="20"/>
          <w:lang w:val="sl-SI"/>
        </w:rPr>
        <w:t xml:space="preserve">  izločit</w:t>
      </w:r>
      <w:r>
        <w:rPr>
          <w:rFonts w:cs="Arial"/>
          <w:szCs w:val="20"/>
          <w:lang w:val="sl-SI"/>
        </w:rPr>
        <w:t>ev</w:t>
      </w:r>
      <w:r w:rsidRPr="00AA3DFF">
        <w:rPr>
          <w:rFonts w:cs="Arial"/>
          <w:szCs w:val="20"/>
          <w:lang w:val="sl-SI"/>
        </w:rPr>
        <w:t xml:space="preserve"> kmetov, ki so upokojeni, in predlaga, da je ta odločitev prepuščena državi članici.</w:t>
      </w:r>
    </w:p>
    <w:p w14:paraId="359A6FFF" w14:textId="77777777" w:rsidR="00FE2F0B" w:rsidRPr="00AA3DFF" w:rsidRDefault="00FE2F0B" w:rsidP="00FE2F0B">
      <w:pPr>
        <w:spacing w:before="20" w:after="20"/>
        <w:jc w:val="both"/>
        <w:rPr>
          <w:rFonts w:cs="Arial"/>
          <w:szCs w:val="20"/>
          <w:lang w:val="sl-SI"/>
        </w:rPr>
      </w:pPr>
    </w:p>
    <w:p w14:paraId="00C754DE" w14:textId="77777777" w:rsidR="00FE2F0B" w:rsidRPr="00AA3DFF" w:rsidRDefault="00FE2F0B" w:rsidP="00FE2F0B">
      <w:pPr>
        <w:spacing w:before="20" w:after="20"/>
        <w:jc w:val="both"/>
        <w:rPr>
          <w:rFonts w:cs="Arial"/>
          <w:szCs w:val="20"/>
          <w:lang w:val="sl-SI"/>
        </w:rPr>
      </w:pPr>
      <w:r w:rsidRPr="00AA3DFF">
        <w:rPr>
          <w:rFonts w:cs="Arial"/>
          <w:szCs w:val="20"/>
          <w:lang w:val="sl-SI"/>
        </w:rPr>
        <w:t>Za Slovenijo je pomembno, da se nadaljuje zastavljena pot zelenega prehoda in da se v ta proces vključuje celoten kmetijsko-prehranski sektor. Predlog nove zelene arhitekture ocenjujemo pozitivno</w:t>
      </w:r>
      <w:r>
        <w:rPr>
          <w:rFonts w:cs="Arial"/>
          <w:szCs w:val="20"/>
          <w:lang w:val="sl-SI"/>
        </w:rPr>
        <w:t>, ker se predlaga</w:t>
      </w:r>
      <w:r w:rsidRPr="00AA3DFF">
        <w:rPr>
          <w:rFonts w:cs="Arial"/>
          <w:szCs w:val="20"/>
          <w:lang w:val="sl-SI"/>
        </w:rPr>
        <w:t xml:space="preserve"> poenotenj</w:t>
      </w:r>
      <w:r>
        <w:rPr>
          <w:rFonts w:cs="Arial"/>
          <w:szCs w:val="20"/>
          <w:lang w:val="sl-SI"/>
        </w:rPr>
        <w:t>e</w:t>
      </w:r>
      <w:r w:rsidRPr="00AA3DFF">
        <w:rPr>
          <w:rFonts w:cs="Arial"/>
          <w:szCs w:val="20"/>
          <w:lang w:val="sl-SI"/>
        </w:rPr>
        <w:t xml:space="preserve"> izvedbenih pravil</w:t>
      </w:r>
      <w:r>
        <w:rPr>
          <w:rFonts w:cs="Arial"/>
          <w:szCs w:val="20"/>
          <w:lang w:val="sl-SI"/>
        </w:rPr>
        <w:t xml:space="preserve"> in ohranja</w:t>
      </w:r>
      <w:r w:rsidRPr="00AA3DFF">
        <w:rPr>
          <w:rFonts w:cs="Arial"/>
          <w:szCs w:val="20"/>
          <w:lang w:val="sl-SI"/>
        </w:rPr>
        <w:t xml:space="preserve"> možnosti uvedbe letnih in večletnih obveznosti. V pogajanjih pa je potrebno nasloviti vprašanje števila in namena obveznih ukrepov s področja kmetijsko-</w:t>
      </w:r>
      <w:proofErr w:type="spellStart"/>
      <w:r w:rsidRPr="00AA3DFF">
        <w:rPr>
          <w:rFonts w:cs="Arial"/>
          <w:szCs w:val="20"/>
          <w:lang w:val="sl-SI"/>
        </w:rPr>
        <w:t>okoljsko</w:t>
      </w:r>
      <w:proofErr w:type="spellEnd"/>
      <w:r w:rsidRPr="00AA3DFF">
        <w:rPr>
          <w:rFonts w:cs="Arial"/>
          <w:szCs w:val="20"/>
          <w:lang w:val="sl-SI"/>
        </w:rPr>
        <w:t>-podnebnih spodbud, saj je pri izboru ukrepov potrebna določena prožnost, da bi lahko upoštevali in ustrezno naslovili posebnosti in potrebe v Sloveniji</w:t>
      </w:r>
      <w:r>
        <w:rPr>
          <w:rFonts w:cs="Arial"/>
          <w:szCs w:val="20"/>
          <w:lang w:val="sl-SI"/>
        </w:rPr>
        <w:t xml:space="preserve"> ter tudi razpoložljiva sredstva</w:t>
      </w:r>
    </w:p>
    <w:p w14:paraId="7A0F8A35" w14:textId="77777777" w:rsidR="00FE2F0B" w:rsidRPr="00AA3DFF" w:rsidRDefault="00FE2F0B" w:rsidP="00FE2F0B">
      <w:pPr>
        <w:spacing w:before="20" w:after="20"/>
        <w:jc w:val="both"/>
        <w:rPr>
          <w:rFonts w:cs="Arial"/>
          <w:szCs w:val="20"/>
          <w:lang w:val="sl-SI"/>
        </w:rPr>
      </w:pPr>
    </w:p>
    <w:p w14:paraId="413610FC" w14:textId="77777777" w:rsidR="00FE2F0B" w:rsidRPr="00AA3DFF" w:rsidRDefault="00FE2F0B" w:rsidP="00FE2F0B">
      <w:pPr>
        <w:spacing w:before="20" w:after="20"/>
        <w:jc w:val="both"/>
        <w:rPr>
          <w:rFonts w:cs="Arial"/>
          <w:szCs w:val="20"/>
          <w:lang w:val="sl-SI"/>
        </w:rPr>
      </w:pPr>
      <w:r w:rsidRPr="00AA3DFF">
        <w:rPr>
          <w:rFonts w:cs="Arial"/>
          <w:szCs w:val="20"/>
          <w:lang w:val="sl-SI"/>
        </w:rPr>
        <w:t xml:space="preserve">Kar zadeva socialno pogojenost v okviru dobrega upravljanja kmetij, Slovenija podpira napore za boljše spoštovanje delovno-pravne zakonodaje, pri tem pa se na podlagi dosedanjih izkušenj s socialno pogojenostjo zavzema za dodatne poenostavitve. </w:t>
      </w:r>
    </w:p>
    <w:p w14:paraId="523670FB" w14:textId="77777777" w:rsidR="00FE2F0B" w:rsidRPr="00AA3DFF" w:rsidRDefault="00FE2F0B" w:rsidP="00FE2F0B">
      <w:pPr>
        <w:spacing w:before="20" w:after="20"/>
        <w:jc w:val="both"/>
        <w:rPr>
          <w:rFonts w:cs="Arial"/>
          <w:szCs w:val="20"/>
          <w:lang w:val="sl-SI"/>
        </w:rPr>
      </w:pPr>
    </w:p>
    <w:p w14:paraId="0D993A6F" w14:textId="77777777" w:rsidR="00FE2F0B" w:rsidRPr="00AA3DFF" w:rsidRDefault="00FE2F0B" w:rsidP="00FE2F0B">
      <w:pPr>
        <w:spacing w:before="20" w:after="20"/>
        <w:jc w:val="both"/>
        <w:rPr>
          <w:rFonts w:cs="Arial"/>
          <w:szCs w:val="20"/>
          <w:lang w:val="sl-SI"/>
        </w:rPr>
      </w:pPr>
      <w:r w:rsidRPr="00AA3DFF">
        <w:rPr>
          <w:rFonts w:cs="Arial"/>
          <w:szCs w:val="20"/>
          <w:lang w:val="sl-SI"/>
        </w:rPr>
        <w:t>Za Slovenijo je spodbujanje generacijske prenove pomembna prioriteta, zato pozdravljamo predlagane nove pristope, ki predstavljajo bolj celovito reševanje generacijske prenove.</w:t>
      </w:r>
    </w:p>
    <w:p w14:paraId="4A63615B" w14:textId="77777777" w:rsidR="00FE2F0B" w:rsidRPr="00AA3DFF" w:rsidRDefault="00FE2F0B" w:rsidP="00FE2F0B">
      <w:pPr>
        <w:spacing w:before="20" w:after="20"/>
        <w:jc w:val="both"/>
        <w:rPr>
          <w:rFonts w:cs="Arial"/>
          <w:szCs w:val="20"/>
          <w:lang w:val="sl-SI"/>
        </w:rPr>
      </w:pPr>
    </w:p>
    <w:p w14:paraId="619AC044" w14:textId="77777777" w:rsidR="00FE2F0B" w:rsidRPr="00AA3DFF" w:rsidRDefault="00FE2F0B" w:rsidP="00FE2F0B">
      <w:pPr>
        <w:spacing w:before="20" w:after="20"/>
        <w:jc w:val="both"/>
        <w:rPr>
          <w:rFonts w:cs="Arial"/>
          <w:szCs w:val="20"/>
          <w:lang w:val="sl-SI"/>
        </w:rPr>
      </w:pPr>
      <w:r w:rsidRPr="00AA3DFF">
        <w:rPr>
          <w:rFonts w:cs="Arial"/>
          <w:szCs w:val="20"/>
          <w:lang w:val="sl-SI"/>
        </w:rPr>
        <w:t>Pozitivne so predlagane izboljšave upravljanja s tveganji, uvedba novih plačil za krizne razmere in večja prožnost nacionalnih načrtov pri odzivanju na nepredvidene dogodke.</w:t>
      </w:r>
    </w:p>
    <w:p w14:paraId="08CED33D" w14:textId="77777777" w:rsidR="00FE2F0B" w:rsidRPr="00AA3DFF" w:rsidRDefault="00FE2F0B" w:rsidP="00FE2F0B">
      <w:pPr>
        <w:spacing w:before="20" w:after="20"/>
        <w:jc w:val="both"/>
        <w:rPr>
          <w:rFonts w:cs="Arial"/>
          <w:szCs w:val="20"/>
          <w:lang w:val="sl-SI"/>
        </w:rPr>
      </w:pPr>
    </w:p>
    <w:p w14:paraId="018A792C" w14:textId="77777777" w:rsidR="00FE2F0B" w:rsidRPr="00AA3DFF" w:rsidRDefault="00FE2F0B" w:rsidP="00FE2F0B">
      <w:pPr>
        <w:spacing w:before="20" w:after="20"/>
        <w:jc w:val="both"/>
        <w:rPr>
          <w:rFonts w:cs="Arial"/>
          <w:szCs w:val="20"/>
          <w:lang w:val="sl-SI"/>
        </w:rPr>
      </w:pPr>
      <w:r w:rsidRPr="00AA3DFF">
        <w:rPr>
          <w:rFonts w:cs="Arial"/>
          <w:szCs w:val="20"/>
          <w:lang w:val="sl-SI"/>
        </w:rPr>
        <w:t>Naložbe ostajajo ključno orodje za krepitev konkurenčnosti, odpornosti in trajnosti kmetijske pridelave in predelave. Slovenija bo v pogajanjih tudi izpostavila pomen vlaganj v infrastrukturo, npr. namakalne sisteme, in živilsko-predelovalno industrijo.</w:t>
      </w:r>
    </w:p>
    <w:p w14:paraId="38572E54" w14:textId="77777777" w:rsidR="00FE2F0B" w:rsidRPr="00AA3DFF" w:rsidRDefault="00FE2F0B" w:rsidP="00FE2F0B">
      <w:pPr>
        <w:spacing w:before="20" w:after="20"/>
        <w:jc w:val="both"/>
        <w:rPr>
          <w:rFonts w:cs="Arial"/>
          <w:szCs w:val="20"/>
          <w:lang w:val="sl-SI"/>
        </w:rPr>
      </w:pPr>
    </w:p>
    <w:p w14:paraId="03991FD7" w14:textId="38491B02" w:rsidR="00FE2F0B" w:rsidRPr="00AA3DFF" w:rsidRDefault="00FE2F0B" w:rsidP="00FE2F0B">
      <w:pPr>
        <w:spacing w:before="20" w:after="20"/>
        <w:jc w:val="both"/>
        <w:rPr>
          <w:rFonts w:cs="Arial"/>
          <w:szCs w:val="20"/>
          <w:lang w:val="sl-SI"/>
        </w:rPr>
      </w:pPr>
      <w:r w:rsidRPr="00AA3DFF">
        <w:rPr>
          <w:rFonts w:cs="Arial"/>
          <w:szCs w:val="20"/>
          <w:lang w:val="sl-SI"/>
        </w:rPr>
        <w:t>Republika Slovenija razume, da se finančni vidiki nove SKP obravnavajo ločeno od razprav o njeni vsebinski zasnovi. Zaveda se tudi, da predlog Evropske komisije pomembno spreminja ustroj večletnega finančnega okvira, saj združuje sklade za kohezijsko politiko, SKP in notranjo varnost v enoten instrument. To bo vplivalo na načrtovanje in izvajanje ukrepov SKP. Kot pozitivno Republika Slovenija ocenjuje dejstvo, da so v nacionalnih načrtih že zamejena sredstva za dohodkovne ukrepe SKP, kar omogoča vsaj delno ohranjanje stabilnosti, predvidljivosti in skupnega značaja te politike. Vendar predlagan</w:t>
      </w:r>
      <w:r>
        <w:rPr>
          <w:rFonts w:cs="Arial"/>
          <w:szCs w:val="20"/>
          <w:lang w:val="sl-SI"/>
        </w:rPr>
        <w:t xml:space="preserve">a minimalna </w:t>
      </w:r>
      <w:r w:rsidRPr="00AA3DFF">
        <w:rPr>
          <w:rFonts w:cs="Arial"/>
          <w:szCs w:val="20"/>
          <w:lang w:val="sl-SI"/>
        </w:rPr>
        <w:t>zamejit</w:t>
      </w:r>
      <w:r>
        <w:rPr>
          <w:rFonts w:cs="Arial"/>
          <w:szCs w:val="20"/>
          <w:lang w:val="sl-SI"/>
        </w:rPr>
        <w:t>e</w:t>
      </w:r>
      <w:r w:rsidRPr="00AA3DFF">
        <w:rPr>
          <w:rFonts w:cs="Arial"/>
          <w:szCs w:val="20"/>
          <w:lang w:val="sl-SI"/>
        </w:rPr>
        <w:t>v</w:t>
      </w:r>
      <w:r>
        <w:rPr>
          <w:rFonts w:cs="Arial"/>
          <w:szCs w:val="20"/>
          <w:lang w:val="sl-SI"/>
        </w:rPr>
        <w:t xml:space="preserve"> sredstev za SKP</w:t>
      </w:r>
      <w:r w:rsidRPr="00AA3DFF">
        <w:rPr>
          <w:rFonts w:cs="Arial"/>
          <w:szCs w:val="20"/>
          <w:lang w:val="sl-SI"/>
        </w:rPr>
        <w:t xml:space="preserve"> na nacionalni ravni ne </w:t>
      </w:r>
      <w:r>
        <w:rPr>
          <w:rFonts w:cs="Arial"/>
          <w:szCs w:val="20"/>
          <w:lang w:val="sl-SI"/>
        </w:rPr>
        <w:t xml:space="preserve">bo </w:t>
      </w:r>
      <w:r w:rsidRPr="00AA3DFF">
        <w:rPr>
          <w:rFonts w:cs="Arial"/>
          <w:szCs w:val="20"/>
          <w:lang w:val="sl-SI"/>
        </w:rPr>
        <w:t>zadost</w:t>
      </w:r>
      <w:r>
        <w:rPr>
          <w:rFonts w:cs="Arial"/>
          <w:szCs w:val="20"/>
          <w:lang w:val="sl-SI"/>
        </w:rPr>
        <w:t>ovala</w:t>
      </w:r>
      <w:r w:rsidRPr="00AA3DFF">
        <w:rPr>
          <w:rFonts w:cs="Arial"/>
          <w:szCs w:val="20"/>
          <w:lang w:val="sl-SI"/>
        </w:rPr>
        <w:t xml:space="preserve"> </w:t>
      </w:r>
      <w:r>
        <w:rPr>
          <w:rFonts w:cs="Arial"/>
          <w:szCs w:val="20"/>
          <w:lang w:val="sl-SI"/>
        </w:rPr>
        <w:t xml:space="preserve">za </w:t>
      </w:r>
      <w:bookmarkStart w:id="0" w:name="_GoBack"/>
      <w:bookmarkEnd w:id="0"/>
      <w:r w:rsidRPr="00AA3DFF">
        <w:rPr>
          <w:rFonts w:cs="Arial"/>
          <w:szCs w:val="20"/>
          <w:lang w:val="sl-SI"/>
        </w:rPr>
        <w:t xml:space="preserve">izvajanje </w:t>
      </w:r>
      <w:r>
        <w:rPr>
          <w:rFonts w:cs="Arial"/>
          <w:szCs w:val="20"/>
          <w:lang w:val="sl-SI"/>
        </w:rPr>
        <w:t xml:space="preserve">vseh obveznih ukrepov, če upoštevamo obseg sredstev, ki so jim namenjeni </w:t>
      </w:r>
      <w:r w:rsidRPr="00AA3DFF">
        <w:rPr>
          <w:rFonts w:cs="Arial"/>
          <w:szCs w:val="20"/>
          <w:lang w:val="sl-SI"/>
        </w:rPr>
        <w:t xml:space="preserve"> v sedanjem programskem obdobju. </w:t>
      </w:r>
    </w:p>
    <w:p w14:paraId="24673973" w14:textId="77777777" w:rsidR="00FE2F0B" w:rsidRPr="00AA3DFF" w:rsidRDefault="00FE2F0B" w:rsidP="00FE2F0B">
      <w:pPr>
        <w:spacing w:before="20" w:after="20"/>
        <w:jc w:val="both"/>
        <w:rPr>
          <w:rFonts w:cs="Arial"/>
          <w:szCs w:val="20"/>
          <w:lang w:val="sl-SI"/>
        </w:rPr>
      </w:pPr>
    </w:p>
    <w:p w14:paraId="2713A90D" w14:textId="77777777" w:rsidR="00FE2F0B" w:rsidRPr="00AA3DFF" w:rsidRDefault="00FE2F0B" w:rsidP="00FE2F0B">
      <w:pPr>
        <w:spacing w:before="20" w:after="20"/>
        <w:jc w:val="both"/>
        <w:rPr>
          <w:rFonts w:cs="Arial"/>
          <w:szCs w:val="20"/>
          <w:lang w:val="sl-SI"/>
        </w:rPr>
      </w:pPr>
      <w:r w:rsidRPr="00AA3DFF">
        <w:rPr>
          <w:rFonts w:cs="Arial"/>
          <w:szCs w:val="20"/>
          <w:lang w:val="sl-SI"/>
        </w:rPr>
        <w:t>Dodatno k temu za Republiko Slovenijo zelo pomembno, da se vsebinske določbe za SKP iz predloga uredbe za nacionalne načrte ter specifične izvedbene določbe prenesejo v SKP uredbo.</w:t>
      </w:r>
    </w:p>
    <w:p w14:paraId="304982A2" w14:textId="77777777" w:rsidR="005350DF" w:rsidRPr="004B3B38" w:rsidRDefault="005350DF" w:rsidP="00E12EEB">
      <w:pPr>
        <w:spacing w:before="20" w:after="20"/>
        <w:jc w:val="both"/>
        <w:rPr>
          <w:lang w:val="sl-SI"/>
        </w:rPr>
      </w:pPr>
    </w:p>
    <w:p w14:paraId="00FAF2C8" w14:textId="77777777" w:rsidR="00441026" w:rsidRDefault="00441026">
      <w:pPr>
        <w:spacing w:after="160" w:line="259" w:lineRule="auto"/>
        <w:rPr>
          <w:rFonts w:cs="Arial"/>
          <w:b/>
          <w:szCs w:val="20"/>
          <w:lang w:val="sl-SI"/>
        </w:rPr>
      </w:pPr>
      <w:r>
        <w:rPr>
          <w:rFonts w:cs="Arial"/>
          <w:b/>
          <w:szCs w:val="20"/>
          <w:lang w:val="sl-SI"/>
        </w:rPr>
        <w:lastRenderedPageBreak/>
        <w:br w:type="page"/>
      </w:r>
    </w:p>
    <w:p w14:paraId="4B7EA55F" w14:textId="53550DB0" w:rsidR="000855C2" w:rsidRPr="004B3B38" w:rsidRDefault="000855C2" w:rsidP="000855C2">
      <w:pPr>
        <w:spacing w:line="276" w:lineRule="auto"/>
        <w:rPr>
          <w:rFonts w:cs="Arial"/>
          <w:b/>
          <w:szCs w:val="20"/>
          <w:lang w:val="sl-SI"/>
        </w:rPr>
      </w:pPr>
      <w:r w:rsidRPr="004B3B38">
        <w:rPr>
          <w:rFonts w:cs="Arial"/>
          <w:b/>
          <w:szCs w:val="20"/>
          <w:lang w:val="sl-SI"/>
        </w:rPr>
        <w:lastRenderedPageBreak/>
        <w:t>Obrazložitev predloga akta (rešitve, predlogi, novosti…</w:t>
      </w:r>
      <w:proofErr w:type="spellStart"/>
      <w:r w:rsidRPr="004B3B38">
        <w:rPr>
          <w:rFonts w:cs="Arial"/>
          <w:b/>
          <w:szCs w:val="20"/>
          <w:lang w:val="sl-SI"/>
        </w:rPr>
        <w:t>itd</w:t>
      </w:r>
      <w:proofErr w:type="spellEnd"/>
      <w:r w:rsidRPr="004B3B38">
        <w:rPr>
          <w:rFonts w:cs="Arial"/>
          <w:b/>
          <w:szCs w:val="20"/>
          <w:lang w:val="sl-SI"/>
        </w:rPr>
        <w:t>)  in obrazložitev stališča:</w:t>
      </w:r>
    </w:p>
    <w:p w14:paraId="549AFBBC" w14:textId="521033EC" w:rsidR="000855C2" w:rsidRPr="004B3B38" w:rsidRDefault="000855C2" w:rsidP="000855C2">
      <w:pPr>
        <w:spacing w:before="20" w:after="20" w:line="276" w:lineRule="auto"/>
        <w:jc w:val="both"/>
        <w:rPr>
          <w:rFonts w:cs="Arial"/>
          <w:iCs/>
          <w:szCs w:val="20"/>
          <w:lang w:val="sl-SI"/>
        </w:rPr>
      </w:pPr>
    </w:p>
    <w:p w14:paraId="36814AE4" w14:textId="12E2168C" w:rsidR="005350DF" w:rsidRPr="004B3B38" w:rsidRDefault="005350DF" w:rsidP="005350DF">
      <w:pPr>
        <w:spacing w:line="276" w:lineRule="auto"/>
        <w:jc w:val="both"/>
        <w:rPr>
          <w:rFonts w:cs="Arial"/>
          <w:szCs w:val="20"/>
          <w:lang w:val="sl-SI"/>
        </w:rPr>
      </w:pPr>
      <w:bookmarkStart w:id="1" w:name="_Hlk211337705"/>
      <w:r w:rsidRPr="004B3B38">
        <w:rPr>
          <w:rFonts w:cs="Arial"/>
          <w:szCs w:val="20"/>
          <w:lang w:val="sl-SI"/>
        </w:rPr>
        <w:t xml:space="preserve">Evropska komisija je 16. julija 2025 objavila Predlog uredbe Evropskega parlamenta in Sveta o vzpostavitvi pogojev za izvajanje podpore Unije skupni kmetijski politiki za obdobje 2028–2034 </w:t>
      </w:r>
      <w:r w:rsidRPr="004B3B38">
        <w:rPr>
          <w:lang w:val="sl-SI"/>
        </w:rPr>
        <w:t xml:space="preserve">(v </w:t>
      </w:r>
      <w:r w:rsidRPr="004B3B38">
        <w:rPr>
          <w:rFonts w:cs="Arial"/>
          <w:szCs w:val="20"/>
          <w:lang w:val="sl-SI"/>
        </w:rPr>
        <w:t>nadaljevanju</w:t>
      </w:r>
      <w:r w:rsidRPr="004B3B38">
        <w:rPr>
          <w:lang w:val="sl-SI"/>
        </w:rPr>
        <w:t>: predlog uredbe SKP)</w:t>
      </w:r>
      <w:r w:rsidRPr="004B3B38">
        <w:rPr>
          <w:rFonts w:cs="Arial"/>
          <w:szCs w:val="20"/>
          <w:lang w:val="sl-SI"/>
        </w:rPr>
        <w:t>, pa tudi Predlog uredbe Evropskega parlamenta in Sveta o spremembi Uredbe (EU) št. 1308/2013 glede sheme šolskega sadja, zelenjave in mleka (šolska shema EU), sektorskih intervencij, vzpostavitve beljakovinskega sektorja, zahtev za konopljo, možnosti tržnih standardov za sir, beljakovinske rastline in meso, uporabe dodatnih uvoznih dajatev, pravil o razpoložljivosti oskrbe v času izrednih razmer in hudih kriz ter varščin (v nadaljevanju: predlog spremembe uredbe o skupni ureditvi trgov – predlog uredbe SUT), ter Predlog uredbe Sveta o spremembi Uredbe (EU) št. 1370/2013 glede sheme pomoči za oskrbo s sadjem in zelenjavo, bananami in mlekom v izobraževalnih ustanovah (šolska shema EU).</w:t>
      </w:r>
    </w:p>
    <w:p w14:paraId="1922EBFD" w14:textId="77777777" w:rsidR="005350DF" w:rsidRPr="004B3B38" w:rsidRDefault="005350DF" w:rsidP="005350DF">
      <w:pPr>
        <w:spacing w:line="276" w:lineRule="auto"/>
        <w:jc w:val="both"/>
        <w:rPr>
          <w:rFonts w:cs="Arial"/>
          <w:szCs w:val="20"/>
          <w:lang w:val="sl-SI"/>
        </w:rPr>
      </w:pPr>
    </w:p>
    <w:p w14:paraId="6BC4169C" w14:textId="55BEE2CA" w:rsidR="005350DF" w:rsidRPr="004B3B38" w:rsidRDefault="005350DF" w:rsidP="005350DF">
      <w:pPr>
        <w:spacing w:line="276" w:lineRule="auto"/>
        <w:jc w:val="both"/>
        <w:rPr>
          <w:rFonts w:cs="Arial"/>
          <w:szCs w:val="20"/>
          <w:lang w:val="sl-SI"/>
        </w:rPr>
      </w:pPr>
      <w:r w:rsidRPr="004B3B38">
        <w:rPr>
          <w:rFonts w:cs="Arial"/>
          <w:szCs w:val="20"/>
          <w:lang w:val="sl-SI"/>
        </w:rPr>
        <w:t xml:space="preserve">Predlog uredbe SKP dopolnjuje Predlog uredbe Evropskega parlamenta in Sveta o vzpostavitvi Evropskega sklada za ekonomsko, socialno in teritorialno kohezijo, kmetijstvo in podeželje, ribištvo in pomorstvo ter blaginjo in varnost za obdobje 2028–2034 ter spremembi Uredbe (EU) 2023/955 in Uredbe (EU, </w:t>
      </w:r>
      <w:proofErr w:type="spellStart"/>
      <w:r w:rsidRPr="004B3B38">
        <w:rPr>
          <w:rFonts w:cs="Arial"/>
          <w:szCs w:val="20"/>
          <w:lang w:val="sl-SI"/>
        </w:rPr>
        <w:t>Euratom</w:t>
      </w:r>
      <w:proofErr w:type="spellEnd"/>
      <w:r w:rsidRPr="004B3B38">
        <w:rPr>
          <w:rFonts w:cs="Arial"/>
          <w:szCs w:val="20"/>
          <w:lang w:val="sl-SI"/>
        </w:rPr>
        <w:t>) 2024/2509 (v nadaljevanju: predlog uredbe NRP), s katerim se ustanavlja sklad za nacionalna in regionalna partnerstva za obdobje 2028–2034. Ta sklad na področju SKP nadomešča Evropski kmetijski jamstveni sklad (EKJS) in Evropski kmetijski sklad za razvoj podeželja (EKSRP). Predlog določa okvir upravljanja in izvajanja ukrepov načrta za nacionalna in regionalna partnerstva (v nadaljevanju: Načrt), vključno z ukrepi iz predloga uredbe SKP. V njem je kot splošni cilj opredeljeno ohranjanje kakovosti življenja v Uniji, h kateremu prispevajo specifični cilji SKP, določeni v 39. členu PDEU, ter vsebuje definicije, ki veljajo za ukrepe SKP.</w:t>
      </w:r>
    </w:p>
    <w:p w14:paraId="5CA4465F" w14:textId="77777777" w:rsidR="005350DF" w:rsidRPr="004B3B38" w:rsidRDefault="005350DF" w:rsidP="005350DF">
      <w:pPr>
        <w:spacing w:line="276" w:lineRule="auto"/>
        <w:jc w:val="both"/>
        <w:rPr>
          <w:rFonts w:cs="Arial"/>
          <w:szCs w:val="20"/>
          <w:lang w:val="sl-SI"/>
        </w:rPr>
      </w:pPr>
    </w:p>
    <w:p w14:paraId="252C9357" w14:textId="115A2287" w:rsidR="005350DF" w:rsidRPr="004B3B38" w:rsidRDefault="005350DF" w:rsidP="005350DF">
      <w:pPr>
        <w:spacing w:line="276" w:lineRule="auto"/>
        <w:jc w:val="both"/>
        <w:rPr>
          <w:rFonts w:cs="Arial"/>
          <w:szCs w:val="20"/>
          <w:lang w:val="sl-SI"/>
        </w:rPr>
      </w:pPr>
      <w:r w:rsidRPr="004B3B38">
        <w:rPr>
          <w:rFonts w:cs="Arial"/>
          <w:szCs w:val="20"/>
          <w:lang w:val="sl-SI"/>
        </w:rPr>
        <w:t>Predlog uredbe SKP je povezan tudi s Predlogom uredbe Evropskega parlamenta in Sveta o vzpostavitvi okvira za spremljanje proračunskih odhodkov in smotrnost proračuna ter drugih horizontalnih pravil za programe in dejavnosti Unije (v nadaljevanju: predlog uredbe o uspešnosti proračuna EU), ki vsebuje tudi kazalnike za spremljanje uspešnosti SKP.</w:t>
      </w:r>
    </w:p>
    <w:p w14:paraId="3A1D2881" w14:textId="77777777" w:rsidR="005350DF" w:rsidRPr="004B3B38" w:rsidRDefault="005350DF" w:rsidP="005350DF">
      <w:pPr>
        <w:spacing w:line="276" w:lineRule="auto"/>
        <w:jc w:val="both"/>
        <w:rPr>
          <w:rFonts w:cs="Arial"/>
          <w:szCs w:val="20"/>
          <w:lang w:val="sl-SI"/>
        </w:rPr>
      </w:pPr>
    </w:p>
    <w:p w14:paraId="0BA7A3AD" w14:textId="63D0D666" w:rsidR="005350DF" w:rsidRPr="004B3B38" w:rsidRDefault="005350DF" w:rsidP="005350DF">
      <w:pPr>
        <w:spacing w:line="276" w:lineRule="auto"/>
        <w:jc w:val="both"/>
        <w:rPr>
          <w:rFonts w:cs="Arial"/>
          <w:szCs w:val="20"/>
          <w:lang w:val="sl-SI"/>
        </w:rPr>
      </w:pPr>
      <w:r w:rsidRPr="004B3B38">
        <w:rPr>
          <w:rFonts w:cs="Arial"/>
          <w:szCs w:val="20"/>
          <w:lang w:val="sl-SI"/>
        </w:rPr>
        <w:t>Predlog uredbe SKP ureja izvajanje podpore Unije kmetijstvu in s tem zagotavljanje preskrbe s hrano z namenom povečanja konkurenčnosti, trajnosti in odpornosti sektorja na evropski in svetovni ravni. Njegov cilj je zagotoviti stabilno in predvidljivo podporo kmetom ter okrepiti njihovo sposobnost soočanja z izzivi, kot so podnebne spremembe, geopolitične negotovosti in tržne krize.</w:t>
      </w:r>
    </w:p>
    <w:p w14:paraId="393EC9E9" w14:textId="77777777" w:rsidR="005350DF" w:rsidRPr="004B3B38" w:rsidRDefault="005350DF" w:rsidP="005350DF">
      <w:pPr>
        <w:spacing w:line="276" w:lineRule="auto"/>
        <w:jc w:val="both"/>
        <w:rPr>
          <w:rFonts w:cs="Arial"/>
          <w:szCs w:val="20"/>
          <w:lang w:val="sl-SI"/>
        </w:rPr>
      </w:pPr>
    </w:p>
    <w:p w14:paraId="38D4D3F9" w14:textId="0F57805C" w:rsidR="005350DF" w:rsidRPr="004B3B38" w:rsidRDefault="005350DF" w:rsidP="005350DF">
      <w:pPr>
        <w:spacing w:line="276" w:lineRule="auto"/>
        <w:jc w:val="both"/>
        <w:rPr>
          <w:rFonts w:cs="Arial"/>
          <w:szCs w:val="20"/>
          <w:lang w:val="sl-SI"/>
        </w:rPr>
      </w:pPr>
      <w:r w:rsidRPr="004B3B38">
        <w:rPr>
          <w:rFonts w:cs="Arial"/>
          <w:szCs w:val="20"/>
          <w:lang w:val="sl-SI"/>
        </w:rPr>
        <w:t>Predlog uvaja prožnejše, ciljno usmerjeno in učinkovitejše izvajanje intervencij SKP ter s prilagoditvami pogojenosti in socialne pogojenosti, združenih pod izrazom »odgovorno gospodarjenje s kmetijo«, večji poudarek namenja spodbudam.</w:t>
      </w:r>
    </w:p>
    <w:p w14:paraId="57D4D99D" w14:textId="77777777" w:rsidR="005350DF" w:rsidRPr="004B3B38" w:rsidRDefault="005350DF" w:rsidP="005350DF">
      <w:pPr>
        <w:spacing w:line="276" w:lineRule="auto"/>
        <w:jc w:val="both"/>
        <w:rPr>
          <w:rFonts w:cs="Arial"/>
          <w:szCs w:val="20"/>
          <w:lang w:val="sl-SI"/>
        </w:rPr>
      </w:pPr>
    </w:p>
    <w:p w14:paraId="1BAD33EE" w14:textId="6F8BED3C" w:rsidR="005350DF" w:rsidRPr="004B3B38" w:rsidRDefault="005350DF" w:rsidP="005350DF">
      <w:pPr>
        <w:spacing w:line="276" w:lineRule="auto"/>
        <w:jc w:val="both"/>
        <w:rPr>
          <w:rFonts w:cs="Arial"/>
          <w:szCs w:val="20"/>
          <w:lang w:val="sl-SI"/>
        </w:rPr>
      </w:pPr>
      <w:r w:rsidRPr="004B3B38">
        <w:rPr>
          <w:rFonts w:cs="Arial"/>
          <w:szCs w:val="20"/>
          <w:lang w:val="sl-SI"/>
        </w:rPr>
        <w:t>Nabor intervencij SKP, ki so opredeljene kot dohodkovne intervencije in zanje določen obseg sredstev tako na ravni EU kot tudi na nacionalni ravni, obsega ključne dosedanje instrumente: degresivno dohodkovno podporo na površino, vezana dohodkovna plačila za posamezne sektorje, pavšalno plačilo za male kmetije, plačila za območja z naravnimi ali drugimi omejitvami (OMD plačila), plačila za obvezne zahteve iz Direktive o habitatih ali Direktive o vodah (npr. Natura 2000), spodbude za izvajanje kmetijsko-</w:t>
      </w:r>
      <w:proofErr w:type="spellStart"/>
      <w:r w:rsidRPr="004B3B38">
        <w:rPr>
          <w:rFonts w:cs="Arial"/>
          <w:szCs w:val="20"/>
          <w:lang w:val="sl-SI"/>
        </w:rPr>
        <w:t>okoljskih</w:t>
      </w:r>
      <w:proofErr w:type="spellEnd"/>
      <w:r w:rsidRPr="004B3B38">
        <w:rPr>
          <w:rFonts w:cs="Arial"/>
          <w:szCs w:val="20"/>
          <w:lang w:val="sl-SI"/>
        </w:rPr>
        <w:t xml:space="preserve"> in podnebnih aktivnosti, naložbene spodbude za kmete in lastnike gozdov, podporo za vzpostavitev gospodarstev mladih in novih kmetov, podeželskih podjetij in zagonskih podjetij ter razvoj malih kmetij, podporo za instrumente obvladovanja tveganj in – po novem v uredbi SUT – sektorske intervencije (npr. za čebelarstvo, sektor vina). Kot dohodkovne intervencije se uvajajo tudi novi ukrepi, kot so podpora za zagotavljanje nadomeščanja na kmetijskih gospodarstvih med bolniško odsotnostjo ali porodniškim dopustom ter pavšalno plačilo za prehod kmetijskega gospodarstva na odporne proizvodne sisteme.</w:t>
      </w:r>
      <w:r w:rsidR="00671F74" w:rsidRPr="004B3B38">
        <w:rPr>
          <w:rFonts w:cs="Arial"/>
          <w:szCs w:val="20"/>
          <w:lang w:val="sl-SI"/>
        </w:rPr>
        <w:t xml:space="preserve"> Novost pa je tudi krizno plačilo za kmete, ki ga kot orodje za spopadanje z naravnimi nesrečami uvaja uredba NRP</w:t>
      </w:r>
      <w:r w:rsidR="00B5573C" w:rsidRPr="004B3B38">
        <w:rPr>
          <w:rFonts w:cs="Arial"/>
          <w:szCs w:val="20"/>
          <w:lang w:val="sl-SI"/>
        </w:rPr>
        <w:t>, se pa ravno tako uvršča med dohodkovne ukrepe SKP</w:t>
      </w:r>
      <w:r w:rsidR="00671F74" w:rsidRPr="004B3B38">
        <w:rPr>
          <w:rFonts w:cs="Arial"/>
          <w:szCs w:val="20"/>
          <w:lang w:val="sl-SI"/>
        </w:rPr>
        <w:t>.</w:t>
      </w:r>
    </w:p>
    <w:p w14:paraId="5EADE768" w14:textId="77777777" w:rsidR="005350DF" w:rsidRPr="004B3B38" w:rsidRDefault="005350DF" w:rsidP="005350DF">
      <w:pPr>
        <w:spacing w:line="276" w:lineRule="auto"/>
        <w:jc w:val="both"/>
        <w:rPr>
          <w:rFonts w:cs="Arial"/>
          <w:szCs w:val="20"/>
          <w:lang w:val="sl-SI"/>
        </w:rPr>
      </w:pPr>
    </w:p>
    <w:p w14:paraId="50937897" w14:textId="66A81517" w:rsidR="005350DF" w:rsidRPr="004B3B38" w:rsidRDefault="005350DF" w:rsidP="005350DF">
      <w:pPr>
        <w:spacing w:line="276" w:lineRule="auto"/>
        <w:jc w:val="both"/>
        <w:rPr>
          <w:rFonts w:cs="Arial"/>
          <w:szCs w:val="20"/>
          <w:lang w:val="sl-SI"/>
        </w:rPr>
      </w:pPr>
      <w:r w:rsidRPr="004B3B38">
        <w:rPr>
          <w:rFonts w:cs="Arial"/>
          <w:szCs w:val="20"/>
          <w:lang w:val="sl-SI"/>
        </w:rPr>
        <w:t xml:space="preserve">Poseben cilj SKP ostaja krepitev povezovanja kmetov z lokalnimi skupnostmi in potrošniki, kar prispeva k večji lokalni samooskrbi, podpori lokalnim pridelovalcem in večji prepoznavnosti trajnostno pridelane hrane. Dohodkovne intervencije tako dopolnjujejo druge intervencije SKP, ki jih danes poznamo kot ukrepe razvoja podeželja (LEADER, pobude za teritorialno in lokalno sodelovanje, podpora za izmenjavo znanja in inovacij v kmetijstvu, gozdarstvu in na podeželju) ter šolska shema, za katero pravila določa uredba o skupni ureditvi trgov (SUT). </w:t>
      </w:r>
    </w:p>
    <w:p w14:paraId="448623B4" w14:textId="77777777" w:rsidR="005350DF" w:rsidRPr="004B3B38" w:rsidRDefault="005350DF" w:rsidP="005350DF">
      <w:pPr>
        <w:spacing w:line="276" w:lineRule="auto"/>
        <w:jc w:val="both"/>
        <w:rPr>
          <w:rFonts w:cs="Arial"/>
          <w:szCs w:val="20"/>
          <w:lang w:val="sl-SI"/>
        </w:rPr>
      </w:pPr>
    </w:p>
    <w:p w14:paraId="69148AFA" w14:textId="5C157E88" w:rsidR="005350DF" w:rsidRPr="004B3B38" w:rsidRDefault="005350DF" w:rsidP="005350DF">
      <w:pPr>
        <w:spacing w:line="276" w:lineRule="auto"/>
        <w:jc w:val="both"/>
        <w:rPr>
          <w:rFonts w:cs="Arial"/>
          <w:szCs w:val="20"/>
          <w:lang w:val="sl-SI"/>
        </w:rPr>
      </w:pPr>
      <w:r w:rsidRPr="004B3B38">
        <w:rPr>
          <w:rFonts w:cs="Arial"/>
          <w:szCs w:val="20"/>
          <w:lang w:val="sl-SI"/>
        </w:rPr>
        <w:t>Predlog daje poseben poudarek generacijski pomladitvi. Države članice bodo morale pripraviti strategijo za spodbujanje vstopa mladih in novih kmetov v sektor ter uporabiti različne instrumente, kot so podpora ob začetku dejavnosti, lažji dostop do financiranja, izobraževanja, usposabljanja in digitalnih orodij.</w:t>
      </w:r>
    </w:p>
    <w:p w14:paraId="542489D0" w14:textId="77777777" w:rsidR="005350DF" w:rsidRPr="004B3B38" w:rsidRDefault="005350DF" w:rsidP="005350DF">
      <w:pPr>
        <w:spacing w:line="276" w:lineRule="auto"/>
        <w:jc w:val="both"/>
        <w:rPr>
          <w:rFonts w:cs="Arial"/>
          <w:szCs w:val="20"/>
          <w:lang w:val="sl-SI"/>
        </w:rPr>
      </w:pPr>
    </w:p>
    <w:p w14:paraId="18C7C71B" w14:textId="1AE6B779" w:rsidR="005350DF" w:rsidRPr="004B3B38" w:rsidRDefault="005350DF" w:rsidP="005350DF">
      <w:pPr>
        <w:spacing w:line="276" w:lineRule="auto"/>
        <w:jc w:val="both"/>
        <w:rPr>
          <w:rFonts w:cs="Arial"/>
          <w:szCs w:val="20"/>
          <w:lang w:val="sl-SI"/>
        </w:rPr>
      </w:pPr>
      <w:r w:rsidRPr="004B3B38">
        <w:rPr>
          <w:rFonts w:cs="Arial"/>
          <w:szCs w:val="20"/>
          <w:lang w:val="sl-SI"/>
        </w:rPr>
        <w:t>Prav tako predlog spodbuja digitalni prehod in inovacije v kmetijstvu, vključno z uporabo naprednih tehnologij za večjo učinkovitost, trajnost in manjši vpliv na okolje.</w:t>
      </w:r>
    </w:p>
    <w:p w14:paraId="432E28C8" w14:textId="77777777" w:rsidR="005350DF" w:rsidRPr="004B3B38" w:rsidRDefault="005350DF" w:rsidP="005350DF">
      <w:pPr>
        <w:spacing w:line="276" w:lineRule="auto"/>
        <w:jc w:val="both"/>
        <w:rPr>
          <w:rFonts w:cs="Arial"/>
          <w:szCs w:val="20"/>
          <w:lang w:val="sl-SI"/>
        </w:rPr>
      </w:pPr>
    </w:p>
    <w:p w14:paraId="5CDF4F8E" w14:textId="07E41133" w:rsidR="005350DF" w:rsidRPr="004B3B38" w:rsidRDefault="005350DF" w:rsidP="005350DF">
      <w:pPr>
        <w:spacing w:line="276" w:lineRule="auto"/>
        <w:jc w:val="both"/>
        <w:rPr>
          <w:rFonts w:cs="Arial"/>
          <w:szCs w:val="20"/>
          <w:lang w:val="sl-SI"/>
        </w:rPr>
      </w:pPr>
      <w:r w:rsidRPr="004B3B38">
        <w:rPr>
          <w:rFonts w:cs="Arial"/>
          <w:szCs w:val="20"/>
          <w:lang w:val="sl-SI"/>
        </w:rPr>
        <w:t>Z intervencijami SKP se krepi odpornost kmetijskega sektorja na krizne razmere, kot so ekstremni vremenski dogodki, tržne motnje ali izbruhi bolezni, hkrati pa se omogoča ciljno usmerjena podpora najbolj ranljivim skupinam, mladim kmetom, strateškim sektorjem in območjem.</w:t>
      </w:r>
    </w:p>
    <w:p w14:paraId="7DFBDEB0" w14:textId="77777777" w:rsidR="005350DF" w:rsidRPr="004B3B38" w:rsidRDefault="005350DF" w:rsidP="005350DF">
      <w:pPr>
        <w:spacing w:line="276" w:lineRule="auto"/>
        <w:jc w:val="both"/>
        <w:rPr>
          <w:rFonts w:cs="Arial"/>
          <w:szCs w:val="20"/>
          <w:lang w:val="sl-SI"/>
        </w:rPr>
      </w:pPr>
    </w:p>
    <w:p w14:paraId="6789D461" w14:textId="3AE828F7" w:rsidR="000855C2" w:rsidRPr="004B3B38" w:rsidRDefault="005350DF" w:rsidP="005350DF">
      <w:pPr>
        <w:spacing w:line="276" w:lineRule="auto"/>
        <w:jc w:val="both"/>
        <w:rPr>
          <w:rFonts w:cs="Arial"/>
          <w:szCs w:val="20"/>
          <w:lang w:val="sl-SI"/>
        </w:rPr>
      </w:pPr>
      <w:r w:rsidRPr="004B3B38">
        <w:rPr>
          <w:rFonts w:cs="Arial"/>
          <w:szCs w:val="20"/>
          <w:lang w:val="sl-SI"/>
        </w:rPr>
        <w:t>V nadaljevanju so predstavljene ključne spremembe, ki jih prinaša zakonodajni predlog, skupaj z obrazložitvijo opredelitve Republike Slovenije do novosti.</w:t>
      </w:r>
    </w:p>
    <w:p w14:paraId="7FBE5560" w14:textId="77777777" w:rsidR="005350DF" w:rsidRPr="004B3B38" w:rsidRDefault="005350DF" w:rsidP="005350DF">
      <w:pPr>
        <w:spacing w:line="276" w:lineRule="auto"/>
        <w:jc w:val="both"/>
        <w:rPr>
          <w:rFonts w:cs="Arial"/>
          <w:bCs/>
          <w:szCs w:val="20"/>
          <w:lang w:val="sl-SI"/>
        </w:rPr>
      </w:pPr>
    </w:p>
    <w:p w14:paraId="753D3479" w14:textId="0B8C1D8E" w:rsidR="00E843F0" w:rsidRPr="004B3B38" w:rsidRDefault="00806061" w:rsidP="00E843F0">
      <w:pPr>
        <w:spacing w:line="276" w:lineRule="auto"/>
        <w:jc w:val="both"/>
        <w:rPr>
          <w:rFonts w:cs="Arial"/>
          <w:bCs/>
          <w:szCs w:val="20"/>
          <w:u w:val="single"/>
          <w:lang w:val="sl-SI"/>
        </w:rPr>
      </w:pPr>
      <w:r w:rsidRPr="004B3B38">
        <w:rPr>
          <w:rFonts w:cs="Arial"/>
          <w:bCs/>
          <w:szCs w:val="20"/>
          <w:u w:val="single"/>
          <w:lang w:val="sl-SI"/>
        </w:rPr>
        <w:t xml:space="preserve">Nacionalna priporočila </w:t>
      </w:r>
      <w:r w:rsidR="005B7619" w:rsidRPr="004B3B38">
        <w:rPr>
          <w:rFonts w:cs="Arial"/>
          <w:bCs/>
          <w:szCs w:val="20"/>
          <w:u w:val="single"/>
          <w:lang w:val="sl-SI"/>
        </w:rPr>
        <w:t>Evropske komisije</w:t>
      </w:r>
    </w:p>
    <w:p w14:paraId="206C3380" w14:textId="77777777" w:rsidR="00806061" w:rsidRPr="004B3B38" w:rsidRDefault="00806061" w:rsidP="00E843F0">
      <w:pPr>
        <w:spacing w:line="276" w:lineRule="auto"/>
        <w:jc w:val="both"/>
        <w:rPr>
          <w:rFonts w:cs="Arial"/>
          <w:bCs/>
          <w:szCs w:val="20"/>
          <w:lang w:val="sl-SI"/>
        </w:rPr>
      </w:pPr>
    </w:p>
    <w:p w14:paraId="7B11B4B2" w14:textId="43D753AA" w:rsidR="005350DF" w:rsidRPr="004B3B38" w:rsidRDefault="005350DF" w:rsidP="005350DF">
      <w:pPr>
        <w:spacing w:line="276" w:lineRule="auto"/>
        <w:jc w:val="both"/>
        <w:rPr>
          <w:rFonts w:cs="Arial"/>
          <w:bCs/>
          <w:szCs w:val="20"/>
          <w:lang w:val="sl-SI"/>
        </w:rPr>
      </w:pPr>
      <w:r w:rsidRPr="004B3B38">
        <w:rPr>
          <w:rFonts w:cs="Arial"/>
          <w:bCs/>
          <w:szCs w:val="20"/>
          <w:lang w:val="sl-SI"/>
        </w:rPr>
        <w:t>Predlog uredbe SKP uvaja nacionalna priporočila Evropske komisije za vsako državo članico, z namenom, da Unija ustrezno naslovi najbolj pereče izzive kmetijskega sektorja ter prispeva k bolj konkurenčnemu, odpornemu in trajnostnemu kmetijstvu. Ta priporočila, skupaj z izidi posvetovanj z deležniki, naj bi zagotovila ustrezno raven usmerjanja politike na ravni Unije, pri čemer bi države članice določile ustrezne intervencije glede na svoje posebne izzive in potrebe. Čeprav to ni izrecno zapisano, bo upoštevanje priporočil Evropske komisije pri področju SKP pogoj za odobritev nacionalnih načrtov.</w:t>
      </w:r>
    </w:p>
    <w:p w14:paraId="714DFF7B" w14:textId="77777777" w:rsidR="005350DF" w:rsidRPr="004B3B38" w:rsidRDefault="005350DF" w:rsidP="005350DF">
      <w:pPr>
        <w:spacing w:line="276" w:lineRule="auto"/>
        <w:jc w:val="both"/>
        <w:rPr>
          <w:rFonts w:cs="Arial"/>
          <w:bCs/>
          <w:szCs w:val="20"/>
          <w:lang w:val="sl-SI"/>
        </w:rPr>
      </w:pPr>
    </w:p>
    <w:p w14:paraId="2D6E50A9" w14:textId="03BE0AE9" w:rsidR="003E4978"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w:t>
      </w:r>
      <w:r w:rsidR="00633456" w:rsidRPr="004B3B38">
        <w:rPr>
          <w:rFonts w:cs="Arial"/>
          <w:bCs/>
          <w:szCs w:val="20"/>
          <w:lang w:val="sl-SI"/>
        </w:rPr>
        <w:t>Glede priporočil EK je pomembno, da ne bodo omejevala prožnosti pri izvajanju ukrepov.</w:t>
      </w:r>
    </w:p>
    <w:p w14:paraId="5468F26D" w14:textId="77777777" w:rsidR="005350DF" w:rsidRPr="004B3B38" w:rsidRDefault="005350DF" w:rsidP="005350DF">
      <w:pPr>
        <w:spacing w:line="276" w:lineRule="auto"/>
        <w:jc w:val="both"/>
        <w:rPr>
          <w:rFonts w:cs="Arial"/>
          <w:szCs w:val="20"/>
          <w:lang w:val="sl-SI"/>
        </w:rPr>
      </w:pPr>
    </w:p>
    <w:p w14:paraId="69012865" w14:textId="3C9AA12B" w:rsidR="00A27900" w:rsidRPr="004B3B38" w:rsidRDefault="00A27900" w:rsidP="00E843F0">
      <w:pPr>
        <w:spacing w:line="276" w:lineRule="auto"/>
        <w:jc w:val="both"/>
        <w:rPr>
          <w:rFonts w:cs="Arial"/>
          <w:szCs w:val="20"/>
          <w:u w:val="single"/>
          <w:lang w:val="sl-SI"/>
        </w:rPr>
      </w:pPr>
      <w:r w:rsidRPr="004B3B38">
        <w:rPr>
          <w:rFonts w:cs="Arial"/>
          <w:szCs w:val="20"/>
          <w:u w:val="single"/>
          <w:lang w:val="sl-SI"/>
        </w:rPr>
        <w:t>Zelena arhitektura (odgovorno gospodarjenje s kmetijo</w:t>
      </w:r>
      <w:r w:rsidR="00B22351" w:rsidRPr="004B3B38">
        <w:rPr>
          <w:rFonts w:cs="Arial"/>
          <w:szCs w:val="20"/>
          <w:u w:val="single"/>
          <w:lang w:val="sl-SI"/>
        </w:rPr>
        <w:t>; o</w:t>
      </w:r>
      <w:r w:rsidRPr="004B3B38">
        <w:rPr>
          <w:rFonts w:cs="Arial"/>
          <w:szCs w:val="20"/>
          <w:u w:val="single"/>
          <w:lang w:val="sl-SI"/>
        </w:rPr>
        <w:t>koljska in podnebna prednostna področja</w:t>
      </w:r>
      <w:r w:rsidR="00B22351" w:rsidRPr="004B3B38">
        <w:rPr>
          <w:rFonts w:cs="Arial"/>
          <w:szCs w:val="20"/>
          <w:u w:val="single"/>
          <w:lang w:val="sl-SI"/>
        </w:rPr>
        <w:t>; kmetijsko-</w:t>
      </w:r>
      <w:proofErr w:type="spellStart"/>
      <w:r w:rsidR="00B22351" w:rsidRPr="004B3B38">
        <w:rPr>
          <w:rFonts w:cs="Arial"/>
          <w:szCs w:val="20"/>
          <w:u w:val="single"/>
          <w:lang w:val="sl-SI"/>
        </w:rPr>
        <w:t>okoljske</w:t>
      </w:r>
      <w:proofErr w:type="spellEnd"/>
      <w:r w:rsidR="00B22351" w:rsidRPr="004B3B38">
        <w:rPr>
          <w:rFonts w:cs="Arial"/>
          <w:szCs w:val="20"/>
          <w:u w:val="single"/>
          <w:lang w:val="sl-SI"/>
        </w:rPr>
        <w:t xml:space="preserve"> in podnebne aktivnosti</w:t>
      </w:r>
      <w:r w:rsidR="00863796" w:rsidRPr="004B3B38">
        <w:rPr>
          <w:rFonts w:cs="Arial"/>
          <w:szCs w:val="20"/>
          <w:u w:val="single"/>
          <w:lang w:val="sl-SI"/>
        </w:rPr>
        <w:t>;</w:t>
      </w:r>
      <w:r w:rsidR="00863796" w:rsidRPr="004B3B38">
        <w:rPr>
          <w:u w:val="single"/>
          <w:lang w:val="sl-SI"/>
        </w:rPr>
        <w:t xml:space="preserve"> p</w:t>
      </w:r>
      <w:r w:rsidR="00863796" w:rsidRPr="004B3B38">
        <w:rPr>
          <w:rFonts w:cs="Arial"/>
          <w:szCs w:val="20"/>
          <w:u w:val="single"/>
          <w:lang w:val="sl-SI"/>
        </w:rPr>
        <w:t>odpora za slabosti, ki izhajajo iz nekaterih obveznih zahtev</w:t>
      </w:r>
      <w:r w:rsidR="00B22351" w:rsidRPr="004B3B38">
        <w:rPr>
          <w:rFonts w:cs="Arial"/>
          <w:szCs w:val="20"/>
          <w:u w:val="single"/>
          <w:lang w:val="sl-SI"/>
        </w:rPr>
        <w:t>)</w:t>
      </w:r>
    </w:p>
    <w:p w14:paraId="2C5712DD" w14:textId="77777777" w:rsidR="00B22351" w:rsidRPr="004B3B38" w:rsidRDefault="00B22351" w:rsidP="003E4978">
      <w:pPr>
        <w:spacing w:line="276" w:lineRule="auto"/>
        <w:jc w:val="both"/>
        <w:rPr>
          <w:rFonts w:cs="Arial"/>
          <w:bCs/>
          <w:szCs w:val="20"/>
          <w:lang w:val="sl-SI"/>
        </w:rPr>
      </w:pPr>
    </w:p>
    <w:p w14:paraId="2919864F" w14:textId="6BCDC593"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S ciljem doseganja boljšega ravnovesja med spodbudami in zahtevami predlog uredbe SKP uvaja nekatere novosti v t. i. zeleni arhitekturi SKP. Ni več obvezne finančne zamejitve na ravni SKP za </w:t>
      </w:r>
      <w:r w:rsidRPr="004B3B38">
        <w:rPr>
          <w:lang w:val="sl-SI"/>
        </w:rPr>
        <w:t>kmetijsko-</w:t>
      </w:r>
      <w:proofErr w:type="spellStart"/>
      <w:r w:rsidRPr="004B3B38">
        <w:rPr>
          <w:lang w:val="sl-SI"/>
        </w:rPr>
        <w:t>okoljske</w:t>
      </w:r>
      <w:proofErr w:type="spellEnd"/>
      <w:r w:rsidRPr="004B3B38">
        <w:rPr>
          <w:lang w:val="sl-SI"/>
        </w:rPr>
        <w:t xml:space="preserve"> in podnebne ukrepe</w:t>
      </w:r>
      <w:r w:rsidRPr="004B3B38">
        <w:rPr>
          <w:rFonts w:cs="Arial"/>
          <w:bCs/>
          <w:szCs w:val="20"/>
          <w:lang w:val="sl-SI"/>
        </w:rPr>
        <w:t xml:space="preserve"> ter zahteve o </w:t>
      </w:r>
      <w:proofErr w:type="spellStart"/>
      <w:r w:rsidRPr="004B3B38">
        <w:rPr>
          <w:rFonts w:cs="Arial"/>
          <w:bCs/>
          <w:szCs w:val="20"/>
          <w:lang w:val="sl-SI"/>
        </w:rPr>
        <w:t>nenazadovanju</w:t>
      </w:r>
      <w:proofErr w:type="spellEnd"/>
      <w:r w:rsidRPr="004B3B38">
        <w:rPr>
          <w:rFonts w:cs="Arial"/>
          <w:bCs/>
          <w:szCs w:val="20"/>
          <w:lang w:val="sl-SI"/>
        </w:rPr>
        <w:t>; namesto tega predlog uredbe o uspešnosti EU proračuna</w:t>
      </w:r>
      <w:r w:rsidRPr="004B3B38">
        <w:rPr>
          <w:lang w:val="sl-SI"/>
        </w:rPr>
        <w:t xml:space="preserve"> </w:t>
      </w:r>
      <w:r w:rsidRPr="004B3B38">
        <w:rPr>
          <w:rFonts w:cs="Arial"/>
          <w:bCs/>
          <w:szCs w:val="20"/>
          <w:lang w:val="sl-SI"/>
        </w:rPr>
        <w:t xml:space="preserve">določa obvezno zamejitev </w:t>
      </w:r>
      <w:r w:rsidRPr="004B3B38">
        <w:rPr>
          <w:lang w:val="sl-SI"/>
        </w:rPr>
        <w:t>za kmetijsko</w:t>
      </w:r>
      <w:r w:rsidRPr="004B3B38">
        <w:rPr>
          <w:rFonts w:cs="Arial"/>
          <w:bCs/>
          <w:szCs w:val="20"/>
          <w:lang w:val="sl-SI"/>
        </w:rPr>
        <w:t>-</w:t>
      </w:r>
      <w:proofErr w:type="spellStart"/>
      <w:r w:rsidRPr="004B3B38">
        <w:rPr>
          <w:lang w:val="sl-SI"/>
        </w:rPr>
        <w:t>okoljsko</w:t>
      </w:r>
      <w:proofErr w:type="spellEnd"/>
      <w:r w:rsidRPr="004B3B38">
        <w:rPr>
          <w:rFonts w:cs="Arial"/>
          <w:bCs/>
          <w:szCs w:val="20"/>
          <w:lang w:val="sl-SI"/>
        </w:rPr>
        <w:t>-</w:t>
      </w:r>
      <w:r w:rsidRPr="004B3B38">
        <w:rPr>
          <w:lang w:val="sl-SI"/>
        </w:rPr>
        <w:t xml:space="preserve">podnebne </w:t>
      </w:r>
      <w:r w:rsidRPr="004B3B38">
        <w:rPr>
          <w:rFonts w:cs="Arial"/>
          <w:bCs/>
          <w:szCs w:val="20"/>
          <w:lang w:val="sl-SI"/>
        </w:rPr>
        <w:t>ukrepe na ravni nacionalnega načrta, v višini najmanj 43 % sredstev, ki so na voljo državi članici za nacionalni načrt. Državam članicam je prepuščena izbira kombinacije ukrepov in finančnega prispevka iz različnih politik za dosego te obvezne zamejitve. V predlogu uredbe SKP so določena tudi prednostna področja, ki so ključna za dolgoročno trajnost kmetijstva. Ta področja so primerljiva s sedanjimi prioritetnimi področji shem za okolje in podnebje (SOPO) ter s specifičnimi cilji SKP za podnebne spremembe, varovanje naravnih virov in biotske raznovrstnosti v strateškem načrtu SKP za obdobje 2023–2027. Dodatno varovalko predstavljajo priporočila Evropske komisije.</w:t>
      </w:r>
    </w:p>
    <w:p w14:paraId="534256E5" w14:textId="77777777" w:rsidR="005350DF" w:rsidRPr="004B3B38" w:rsidRDefault="005350DF" w:rsidP="005350DF">
      <w:pPr>
        <w:spacing w:line="276" w:lineRule="auto"/>
        <w:jc w:val="both"/>
        <w:rPr>
          <w:rFonts w:cs="Arial"/>
          <w:bCs/>
          <w:szCs w:val="20"/>
          <w:lang w:val="sl-SI"/>
        </w:rPr>
      </w:pPr>
    </w:p>
    <w:p w14:paraId="330C72FF" w14:textId="313821D9" w:rsidR="005350DF" w:rsidRPr="004B3B38" w:rsidRDefault="005350DF" w:rsidP="005350DF">
      <w:pPr>
        <w:spacing w:line="276" w:lineRule="auto"/>
        <w:jc w:val="both"/>
        <w:rPr>
          <w:rFonts w:cs="Arial"/>
          <w:bCs/>
          <w:szCs w:val="20"/>
          <w:lang w:val="sl-SI"/>
        </w:rPr>
      </w:pPr>
      <w:r w:rsidRPr="004B3B38">
        <w:rPr>
          <w:rFonts w:cs="Arial"/>
          <w:bCs/>
          <w:szCs w:val="20"/>
          <w:lang w:val="sl-SI"/>
        </w:rPr>
        <w:lastRenderedPageBreak/>
        <w:t xml:space="preserve">Nova SKP pri zeleni arhitekturi ohranja sklop obveznih zahtev, saj sta obstoječa pogojenost in socialna pogojenost združeni pod izrazom »odgovorno gospodarjenje s kmetijo«. Seznam EU direktiv za namen posebnih zahtev se ne širi. </w:t>
      </w:r>
      <w:r w:rsidR="00C17FB3" w:rsidRPr="004B3B38">
        <w:rPr>
          <w:rFonts w:cs="Arial"/>
          <w:bCs/>
          <w:szCs w:val="20"/>
          <w:lang w:val="sl-SI"/>
        </w:rPr>
        <w:t>K</w:t>
      </w:r>
      <w:r w:rsidR="009D643E" w:rsidRPr="004B3B38">
        <w:rPr>
          <w:rFonts w:cs="Arial"/>
          <w:bCs/>
          <w:szCs w:val="20"/>
          <w:lang w:val="sl-SI"/>
        </w:rPr>
        <w:t>ljučna</w:t>
      </w:r>
      <w:r w:rsidRPr="004B3B38">
        <w:rPr>
          <w:rFonts w:cs="Arial"/>
          <w:bCs/>
          <w:szCs w:val="20"/>
          <w:lang w:val="sl-SI"/>
        </w:rPr>
        <w:t xml:space="preserve"> novost</w:t>
      </w:r>
      <w:r w:rsidR="00C17FB3" w:rsidRPr="004B3B38">
        <w:rPr>
          <w:rFonts w:cs="Arial"/>
          <w:bCs/>
          <w:szCs w:val="20"/>
          <w:lang w:val="sl-SI"/>
        </w:rPr>
        <w:t xml:space="preserve"> je</w:t>
      </w:r>
      <w:r w:rsidRPr="004B3B38">
        <w:rPr>
          <w:rFonts w:cs="Arial"/>
          <w:bCs/>
          <w:szCs w:val="20"/>
          <w:lang w:val="sl-SI"/>
        </w:rPr>
        <w:t xml:space="preserve">, da uredba ne opredeljuje več standardov dobrih kmetijskih in </w:t>
      </w:r>
      <w:proofErr w:type="spellStart"/>
      <w:r w:rsidRPr="004B3B38">
        <w:rPr>
          <w:rFonts w:cs="Arial"/>
          <w:bCs/>
          <w:szCs w:val="20"/>
          <w:lang w:val="sl-SI"/>
        </w:rPr>
        <w:t>okoljskih</w:t>
      </w:r>
      <w:proofErr w:type="spellEnd"/>
      <w:r w:rsidRPr="004B3B38">
        <w:rPr>
          <w:rFonts w:cs="Arial"/>
          <w:bCs/>
          <w:szCs w:val="20"/>
          <w:lang w:val="sl-SI"/>
        </w:rPr>
        <w:t xml:space="preserve"> pogojev (DKOP), temveč uvaja </w:t>
      </w:r>
      <w:r w:rsidR="009D643E" w:rsidRPr="004B3B38">
        <w:rPr>
          <w:rFonts w:cs="Arial"/>
          <w:bCs/>
          <w:szCs w:val="20"/>
          <w:lang w:val="sl-SI"/>
        </w:rPr>
        <w:t>novo poimenovanje</w:t>
      </w:r>
      <w:r w:rsidRPr="004B3B38">
        <w:rPr>
          <w:rFonts w:cs="Arial"/>
          <w:bCs/>
          <w:szCs w:val="20"/>
          <w:lang w:val="sl-SI"/>
        </w:rPr>
        <w:t xml:space="preserve"> »zaščitne prakse</w:t>
      </w:r>
      <w:r w:rsidR="009D643E" w:rsidRPr="004B3B38">
        <w:rPr>
          <w:rFonts w:cs="Arial"/>
          <w:bCs/>
          <w:szCs w:val="20"/>
          <w:lang w:val="sl-SI"/>
        </w:rPr>
        <w:t>« in njihovo</w:t>
      </w:r>
      <w:r w:rsidRPr="004B3B38">
        <w:rPr>
          <w:rFonts w:cs="Arial"/>
          <w:bCs/>
          <w:szCs w:val="20"/>
          <w:lang w:val="sl-SI"/>
        </w:rPr>
        <w:t xml:space="preserve"> opredelitev </w:t>
      </w:r>
      <w:r w:rsidR="009D643E" w:rsidRPr="004B3B38">
        <w:rPr>
          <w:rFonts w:cs="Arial"/>
          <w:bCs/>
          <w:szCs w:val="20"/>
          <w:lang w:val="sl-SI"/>
        </w:rPr>
        <w:t>ter</w:t>
      </w:r>
      <w:r w:rsidRPr="004B3B38">
        <w:rPr>
          <w:rFonts w:cs="Arial"/>
          <w:bCs/>
          <w:szCs w:val="20"/>
          <w:lang w:val="sl-SI"/>
        </w:rPr>
        <w:t xml:space="preserve"> odločitev o plačilu v okviru kmetijsko-</w:t>
      </w:r>
      <w:proofErr w:type="spellStart"/>
      <w:r w:rsidRPr="004B3B38">
        <w:rPr>
          <w:rFonts w:cs="Arial"/>
          <w:bCs/>
          <w:szCs w:val="20"/>
          <w:lang w:val="sl-SI"/>
        </w:rPr>
        <w:t>okoljsko</w:t>
      </w:r>
      <w:proofErr w:type="spellEnd"/>
      <w:r w:rsidRPr="004B3B38">
        <w:rPr>
          <w:rFonts w:cs="Arial"/>
          <w:bCs/>
          <w:szCs w:val="20"/>
          <w:lang w:val="sl-SI"/>
        </w:rPr>
        <w:t xml:space="preserve">-podnebnih ukrepov </w:t>
      </w:r>
      <w:r w:rsidR="009D643E" w:rsidRPr="004B3B38">
        <w:rPr>
          <w:rFonts w:cs="Arial"/>
          <w:bCs/>
          <w:szCs w:val="20"/>
          <w:lang w:val="sl-SI"/>
        </w:rPr>
        <w:t>prepušča</w:t>
      </w:r>
      <w:r w:rsidRPr="004B3B38">
        <w:rPr>
          <w:rFonts w:cs="Arial"/>
          <w:bCs/>
          <w:szCs w:val="20"/>
          <w:lang w:val="sl-SI"/>
        </w:rPr>
        <w:t xml:space="preserve"> državam članicam. Ta prožnost je omejena z obveznim seznamom področij, za katera je treba oblikovati zaščitne prakse, in z zahtevo po upoštevanju priporočil Evropske komisije. Področja ukrepanja ostajajo ista, razen deleža trajnega travinja, ki je črtan. </w:t>
      </w:r>
      <w:r w:rsidR="009D643E" w:rsidRPr="004B3B38">
        <w:rPr>
          <w:rFonts w:cs="Arial"/>
          <w:bCs/>
          <w:szCs w:val="20"/>
          <w:lang w:val="sl-SI"/>
        </w:rPr>
        <w:t>Za vse ukrepe, pogojene</w:t>
      </w:r>
      <w:r w:rsidRPr="004B3B38">
        <w:rPr>
          <w:rFonts w:cs="Arial"/>
          <w:bCs/>
          <w:szCs w:val="20"/>
          <w:lang w:val="sl-SI"/>
        </w:rPr>
        <w:t xml:space="preserve"> z izvajanjem »odgovornega gospodarjenja s kmetijo«, </w:t>
      </w:r>
      <w:r w:rsidR="009D643E" w:rsidRPr="004B3B38">
        <w:rPr>
          <w:rFonts w:cs="Arial"/>
          <w:bCs/>
          <w:szCs w:val="20"/>
          <w:lang w:val="sl-SI"/>
        </w:rPr>
        <w:t>velja, da so</w:t>
      </w:r>
      <w:r w:rsidRPr="004B3B38">
        <w:rPr>
          <w:rFonts w:cs="Arial"/>
          <w:bCs/>
          <w:szCs w:val="20"/>
          <w:lang w:val="sl-SI"/>
        </w:rPr>
        <w:t xml:space="preserve"> skladni z načelom, da se ne škoduje bistveno iz Uredbe (EU, </w:t>
      </w:r>
      <w:proofErr w:type="spellStart"/>
      <w:r w:rsidRPr="004B3B38">
        <w:rPr>
          <w:rFonts w:cs="Arial"/>
          <w:bCs/>
          <w:szCs w:val="20"/>
          <w:lang w:val="sl-SI"/>
        </w:rPr>
        <w:t>Euratom</w:t>
      </w:r>
      <w:proofErr w:type="spellEnd"/>
      <w:r w:rsidRPr="004B3B38">
        <w:rPr>
          <w:rFonts w:cs="Arial"/>
          <w:bCs/>
          <w:szCs w:val="20"/>
          <w:lang w:val="sl-SI"/>
        </w:rPr>
        <w:t>) 2024/2509</w:t>
      </w:r>
      <w:r w:rsidR="009D643E" w:rsidRPr="004B3B38">
        <w:rPr>
          <w:rFonts w:cs="Arial"/>
          <w:bCs/>
          <w:szCs w:val="20"/>
          <w:lang w:val="sl-SI"/>
        </w:rPr>
        <w:t xml:space="preserve"> Evropskega parlamenta in Sveta. Izjema</w:t>
      </w:r>
      <w:r w:rsidRPr="004B3B38">
        <w:rPr>
          <w:rFonts w:cs="Arial"/>
          <w:bCs/>
          <w:szCs w:val="20"/>
          <w:lang w:val="sl-SI"/>
        </w:rPr>
        <w:t xml:space="preserve"> za upravičence do plačil za male kmetije, ki so iz tega sistema izvzeti, bodo urejale smernice Evropske komisije, ob upoštevanju načela sorazmernosti. </w:t>
      </w:r>
      <w:r w:rsidR="009D643E" w:rsidRPr="004B3B38">
        <w:rPr>
          <w:rFonts w:cs="Arial"/>
          <w:bCs/>
          <w:szCs w:val="20"/>
          <w:lang w:val="sl-SI"/>
        </w:rPr>
        <w:t>Tudi v bodoče bodo države</w:t>
      </w:r>
      <w:r w:rsidRPr="004B3B38">
        <w:rPr>
          <w:rFonts w:cs="Arial"/>
          <w:bCs/>
          <w:szCs w:val="20"/>
          <w:lang w:val="sl-SI"/>
        </w:rPr>
        <w:t xml:space="preserve"> članice lahko zaščitne prakse prilagodile svojim</w:t>
      </w:r>
      <w:r w:rsidR="009D643E" w:rsidRPr="004B3B38">
        <w:rPr>
          <w:rFonts w:cs="Arial"/>
          <w:bCs/>
          <w:szCs w:val="20"/>
          <w:lang w:val="sl-SI"/>
        </w:rPr>
        <w:t xml:space="preserve"> posebnim</w:t>
      </w:r>
      <w:r w:rsidRPr="004B3B38">
        <w:rPr>
          <w:rFonts w:cs="Arial"/>
          <w:bCs/>
          <w:szCs w:val="20"/>
          <w:lang w:val="sl-SI"/>
        </w:rPr>
        <w:t xml:space="preserve"> geografskim in podnebnim razmeram ter proizvodnim sistemom, vključno z določitvijo izjem. Splošna izjema </w:t>
      </w:r>
      <w:r w:rsidR="009D643E" w:rsidRPr="004B3B38">
        <w:rPr>
          <w:rFonts w:cs="Arial"/>
          <w:bCs/>
          <w:szCs w:val="20"/>
          <w:lang w:val="sl-SI"/>
        </w:rPr>
        <w:t xml:space="preserve">v vseh državah članicah </w:t>
      </w:r>
      <w:r w:rsidRPr="004B3B38">
        <w:rPr>
          <w:rFonts w:cs="Arial"/>
          <w:bCs/>
          <w:szCs w:val="20"/>
          <w:lang w:val="sl-SI"/>
        </w:rPr>
        <w:t>velja za površine</w:t>
      </w:r>
      <w:r w:rsidR="009D643E" w:rsidRPr="004B3B38">
        <w:rPr>
          <w:rFonts w:cs="Arial"/>
          <w:bCs/>
          <w:szCs w:val="20"/>
          <w:lang w:val="sl-SI"/>
        </w:rPr>
        <w:t>, ki so</w:t>
      </w:r>
      <w:r w:rsidRPr="004B3B38">
        <w:rPr>
          <w:rFonts w:cs="Arial"/>
          <w:bCs/>
          <w:szCs w:val="20"/>
          <w:lang w:val="sl-SI"/>
        </w:rPr>
        <w:t xml:space="preserve"> vključene v</w:t>
      </w:r>
      <w:r w:rsidR="009D643E" w:rsidRPr="004B3B38">
        <w:rPr>
          <w:rFonts w:cs="Arial"/>
          <w:bCs/>
          <w:szCs w:val="20"/>
          <w:lang w:val="sl-SI"/>
        </w:rPr>
        <w:t xml:space="preserve"> kontrolo za</w:t>
      </w:r>
      <w:r w:rsidRPr="004B3B38">
        <w:rPr>
          <w:rFonts w:cs="Arial"/>
          <w:bCs/>
          <w:szCs w:val="20"/>
          <w:lang w:val="sl-SI"/>
        </w:rPr>
        <w:t xml:space="preserve"> ekološko kmetovanje.</w:t>
      </w:r>
    </w:p>
    <w:p w14:paraId="7FA47860" w14:textId="77777777" w:rsidR="005350DF" w:rsidRPr="004B3B38" w:rsidRDefault="005350DF" w:rsidP="005350DF">
      <w:pPr>
        <w:spacing w:line="276" w:lineRule="auto"/>
        <w:jc w:val="both"/>
        <w:rPr>
          <w:rFonts w:cs="Arial"/>
          <w:bCs/>
          <w:szCs w:val="20"/>
          <w:lang w:val="sl-SI"/>
        </w:rPr>
      </w:pPr>
    </w:p>
    <w:p w14:paraId="63AAEF9D" w14:textId="62BE94ED" w:rsidR="005350DF" w:rsidRPr="004B3B38" w:rsidRDefault="005350DF" w:rsidP="005350DF">
      <w:pPr>
        <w:spacing w:line="276" w:lineRule="auto"/>
        <w:jc w:val="both"/>
        <w:rPr>
          <w:rFonts w:cs="Arial"/>
          <w:bCs/>
          <w:szCs w:val="20"/>
          <w:lang w:val="sl-SI"/>
        </w:rPr>
      </w:pPr>
      <w:r w:rsidRPr="004B3B38">
        <w:rPr>
          <w:rFonts w:cs="Arial"/>
          <w:bCs/>
          <w:szCs w:val="20"/>
          <w:lang w:val="sl-SI"/>
        </w:rPr>
        <w:t>Za pospešitev prehoda na trajnostne proizvodne metode in prispevek k cilju podnebne nevtralnosti do leta 2050 predlog uvaja nov ukrep: pavšalno plačilo na kmetijsko gospodarstvo za prehod na odporne proizvodne sisteme. Plačilo bo izplačano glede na izpolnitev mejnikov iz akcijskega načrta kmetijskega gospodarstva, ki ga pripravi kmet. Opredelitev odpornih proizvodnih sistemov bo prepuščena državam članicam, medtem ko predlog uredbe NRP določa najvišji dovoljen znesek podpore (največ 200.000 EUR).</w:t>
      </w:r>
    </w:p>
    <w:p w14:paraId="2FB733E0" w14:textId="77777777" w:rsidR="005350DF" w:rsidRPr="004B3B38" w:rsidRDefault="005350DF" w:rsidP="005350DF">
      <w:pPr>
        <w:spacing w:line="276" w:lineRule="auto"/>
        <w:jc w:val="both"/>
        <w:rPr>
          <w:rFonts w:cs="Arial"/>
          <w:bCs/>
          <w:szCs w:val="20"/>
          <w:lang w:val="sl-SI"/>
        </w:rPr>
      </w:pPr>
    </w:p>
    <w:p w14:paraId="224DEA0D" w14:textId="5765F304" w:rsidR="005350DF" w:rsidRPr="004B3B38" w:rsidRDefault="005350DF" w:rsidP="005350DF">
      <w:pPr>
        <w:spacing w:line="276" w:lineRule="auto"/>
        <w:jc w:val="both"/>
        <w:rPr>
          <w:rFonts w:cs="Arial"/>
          <w:bCs/>
          <w:szCs w:val="20"/>
          <w:lang w:val="sl-SI"/>
        </w:rPr>
      </w:pPr>
      <w:r w:rsidRPr="004B3B38">
        <w:rPr>
          <w:rFonts w:cs="Arial"/>
          <w:bCs/>
          <w:szCs w:val="20"/>
          <w:lang w:val="sl-SI"/>
        </w:rPr>
        <w:t>Predlog uredbe SKP nalaga državam članicam, da kmetom in drugim upravičencem zagotovijo podporo prek kmetijsko-</w:t>
      </w:r>
      <w:proofErr w:type="spellStart"/>
      <w:r w:rsidRPr="004B3B38">
        <w:rPr>
          <w:rFonts w:cs="Arial"/>
          <w:bCs/>
          <w:szCs w:val="20"/>
          <w:lang w:val="sl-SI"/>
        </w:rPr>
        <w:t>okoljsko</w:t>
      </w:r>
      <w:proofErr w:type="spellEnd"/>
      <w:r w:rsidRPr="004B3B38">
        <w:rPr>
          <w:rFonts w:cs="Arial"/>
          <w:bCs/>
          <w:szCs w:val="20"/>
          <w:lang w:val="sl-SI"/>
        </w:rPr>
        <w:t xml:space="preserve">-podnebnih ukrepov (KOPOP), ukrepov in plačil za obvezne zahteve (npr. plačila Natura 2000) ter naložbenih podpor. Na območjih z onesnaženjem vode zaradi presežka dušika morajo države članice zagotoviti podporo za </w:t>
      </w:r>
      <w:proofErr w:type="spellStart"/>
      <w:r w:rsidRPr="004B3B38">
        <w:rPr>
          <w:rFonts w:cs="Arial"/>
          <w:bCs/>
          <w:szCs w:val="20"/>
          <w:lang w:val="sl-SI"/>
        </w:rPr>
        <w:t>ekstenzifikacijo</w:t>
      </w:r>
      <w:proofErr w:type="spellEnd"/>
      <w:r w:rsidRPr="004B3B38">
        <w:rPr>
          <w:rFonts w:cs="Arial"/>
          <w:bCs/>
          <w:szCs w:val="20"/>
          <w:lang w:val="sl-SI"/>
        </w:rPr>
        <w:t xml:space="preserve"> živinoreje ali diverzifikacijo kmetijskih dejavnosti. Poleg tega morajo države članice podpirati ekološko kmetijstvo in ekstenzivno živinorejo tako prek plačil na površino za eno- ali večletne obveznosti kot tudi prek novega ukrepa za prehod na odporne proizvodne sisteme.</w:t>
      </w:r>
    </w:p>
    <w:p w14:paraId="2218A7C0" w14:textId="77777777" w:rsidR="005350DF" w:rsidRPr="004B3B38" w:rsidRDefault="005350DF" w:rsidP="005350DF">
      <w:pPr>
        <w:spacing w:line="276" w:lineRule="auto"/>
        <w:jc w:val="both"/>
        <w:rPr>
          <w:rFonts w:cs="Arial"/>
          <w:bCs/>
          <w:szCs w:val="20"/>
          <w:lang w:val="sl-SI"/>
        </w:rPr>
      </w:pPr>
    </w:p>
    <w:p w14:paraId="26E83EFA" w14:textId="467CFDEB"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Čeprav ni več delitve na 1. in 2. steber </w:t>
      </w:r>
      <w:r w:rsidR="00C17FB3" w:rsidRPr="004B3B38">
        <w:rPr>
          <w:rFonts w:cs="Arial"/>
          <w:bCs/>
          <w:szCs w:val="20"/>
          <w:lang w:val="sl-SI"/>
        </w:rPr>
        <w:t>ter</w:t>
      </w:r>
      <w:r w:rsidRPr="004B3B38">
        <w:rPr>
          <w:rFonts w:cs="Arial"/>
          <w:bCs/>
          <w:szCs w:val="20"/>
          <w:lang w:val="sl-SI"/>
        </w:rPr>
        <w:t xml:space="preserve"> sheme za okolje in podnebje, </w:t>
      </w:r>
      <w:r w:rsidR="00C17FB3" w:rsidRPr="004B3B38">
        <w:rPr>
          <w:rFonts w:cs="Arial"/>
          <w:bCs/>
          <w:szCs w:val="20"/>
          <w:lang w:val="sl-SI"/>
        </w:rPr>
        <w:t>bo možno izvajati ukrepe z</w:t>
      </w:r>
      <w:r w:rsidRPr="004B3B38">
        <w:rPr>
          <w:rFonts w:cs="Arial"/>
          <w:bCs/>
          <w:szCs w:val="20"/>
          <w:lang w:val="sl-SI"/>
        </w:rPr>
        <w:t xml:space="preserve"> enoletn</w:t>
      </w:r>
      <w:r w:rsidR="00C17FB3" w:rsidRPr="004B3B38">
        <w:rPr>
          <w:rFonts w:cs="Arial"/>
          <w:bCs/>
          <w:szCs w:val="20"/>
          <w:lang w:val="sl-SI"/>
        </w:rPr>
        <w:t>o</w:t>
      </w:r>
      <w:r w:rsidRPr="004B3B38">
        <w:rPr>
          <w:rFonts w:cs="Arial"/>
          <w:bCs/>
          <w:szCs w:val="20"/>
          <w:lang w:val="sl-SI"/>
        </w:rPr>
        <w:t xml:space="preserve"> ali večletn</w:t>
      </w:r>
      <w:r w:rsidR="00C17FB3" w:rsidRPr="004B3B38">
        <w:rPr>
          <w:rFonts w:cs="Arial"/>
          <w:bCs/>
          <w:szCs w:val="20"/>
          <w:lang w:val="sl-SI"/>
        </w:rPr>
        <w:t>imi</w:t>
      </w:r>
      <w:r w:rsidRPr="004B3B38">
        <w:rPr>
          <w:rFonts w:cs="Arial"/>
          <w:bCs/>
          <w:szCs w:val="20"/>
          <w:lang w:val="sl-SI"/>
        </w:rPr>
        <w:t xml:space="preserve"> obveznost</w:t>
      </w:r>
      <w:r w:rsidR="00C17FB3" w:rsidRPr="004B3B38">
        <w:rPr>
          <w:rFonts w:cs="Arial"/>
          <w:bCs/>
          <w:szCs w:val="20"/>
          <w:lang w:val="sl-SI"/>
        </w:rPr>
        <w:t>m</w:t>
      </w:r>
      <w:r w:rsidRPr="004B3B38">
        <w:rPr>
          <w:rFonts w:cs="Arial"/>
          <w:bCs/>
          <w:szCs w:val="20"/>
          <w:lang w:val="sl-SI"/>
        </w:rPr>
        <w:t xml:space="preserve">i, </w:t>
      </w:r>
      <w:proofErr w:type="spellStart"/>
      <w:r w:rsidRPr="004B3B38">
        <w:rPr>
          <w:rFonts w:cs="Arial"/>
          <w:bCs/>
          <w:szCs w:val="20"/>
          <w:lang w:val="sl-SI"/>
        </w:rPr>
        <w:t>koristn</w:t>
      </w:r>
      <w:r w:rsidR="00C17FB3" w:rsidRPr="004B3B38">
        <w:rPr>
          <w:rFonts w:cs="Arial"/>
          <w:bCs/>
          <w:szCs w:val="20"/>
          <w:lang w:val="sl-SI"/>
        </w:rPr>
        <w:t>imi</w:t>
      </w:r>
      <w:r w:rsidRPr="004B3B38">
        <w:rPr>
          <w:rFonts w:cs="Arial"/>
          <w:bCs/>
          <w:szCs w:val="20"/>
          <w:lang w:val="sl-SI"/>
        </w:rPr>
        <w:t>e</w:t>
      </w:r>
      <w:proofErr w:type="spellEnd"/>
      <w:r w:rsidRPr="004B3B38">
        <w:rPr>
          <w:rFonts w:cs="Arial"/>
          <w:bCs/>
          <w:szCs w:val="20"/>
          <w:lang w:val="sl-SI"/>
        </w:rPr>
        <w:t xml:space="preserve"> za okolje, podnebje in dobrobit živali. Izračun plačil mora biti skladen s pravili Svetovne trgovinske organizacije (WTO) za podpore iz zelene škatle, kar omogoča plačilo kot proizvodno nevezan dodatek ali kot plačilo za dodatne stroške, izgubljen dohodek in transakcijske stroške. Skladno s predlogom uredbe NRP je za te ukrepe obvezno vsaj 30 % nacionalno sofinanciranje, tudi za enoletne obveznosti, ki so primerljive sedanjim shemam SOPO.</w:t>
      </w:r>
    </w:p>
    <w:p w14:paraId="36C4C893" w14:textId="77777777" w:rsidR="005350DF" w:rsidRPr="004B3B38" w:rsidRDefault="005350DF" w:rsidP="005350DF">
      <w:pPr>
        <w:spacing w:line="276" w:lineRule="auto"/>
        <w:jc w:val="both"/>
        <w:rPr>
          <w:rFonts w:cs="Arial"/>
          <w:bCs/>
          <w:szCs w:val="20"/>
          <w:lang w:val="sl-SI"/>
        </w:rPr>
      </w:pPr>
    </w:p>
    <w:p w14:paraId="364F7B61" w14:textId="387436C9"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Prostovoljno za državo članico ostaja podpora za slabosti, ki izhajajo iz nekaterih obveznih zahtev (npr. plačila Natura 2000). Nova uredba prinaša možnost širitve zavarovanega območja z </w:t>
      </w:r>
      <w:proofErr w:type="spellStart"/>
      <w:r w:rsidRPr="004B3B38">
        <w:rPr>
          <w:rFonts w:cs="Arial"/>
          <w:bCs/>
          <w:szCs w:val="20"/>
          <w:lang w:val="sl-SI"/>
        </w:rPr>
        <w:t>okoljskimi</w:t>
      </w:r>
      <w:proofErr w:type="spellEnd"/>
      <w:r w:rsidRPr="004B3B38">
        <w:rPr>
          <w:rFonts w:cs="Arial"/>
          <w:bCs/>
          <w:szCs w:val="20"/>
          <w:lang w:val="sl-SI"/>
        </w:rPr>
        <w:t xml:space="preserve"> omejitvami za kmetijstvo ali gozdarstvo, pod pogojem, da širitev ne presega 5 % Natura 2000 območij. Izračun plačil še vedno vključuje kritje dodatnih stroškov in/ali izgubljenega dohodka, po novem pa tudi transakcijske stroške.</w:t>
      </w:r>
    </w:p>
    <w:p w14:paraId="223D191F" w14:textId="77777777" w:rsidR="005350DF" w:rsidRPr="004B3B38" w:rsidRDefault="005350DF" w:rsidP="005350DF">
      <w:pPr>
        <w:spacing w:line="276" w:lineRule="auto"/>
        <w:jc w:val="both"/>
        <w:rPr>
          <w:rFonts w:cs="Arial"/>
          <w:bCs/>
          <w:szCs w:val="20"/>
          <w:lang w:val="sl-SI"/>
        </w:rPr>
      </w:pPr>
    </w:p>
    <w:p w14:paraId="094B66B5" w14:textId="126C73EC" w:rsidR="00993AB0"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w:t>
      </w:r>
      <w:r w:rsidR="005410DF" w:rsidRPr="004B3B38">
        <w:rPr>
          <w:rFonts w:cs="Arial"/>
          <w:bCs/>
          <w:szCs w:val="20"/>
          <w:lang w:val="sl-SI"/>
        </w:rPr>
        <w:t xml:space="preserve">Za Slovenijo je pomembno, da se nadaljuje zastavljena pot zelenega prehoda in da se v ta proces vključuje celoten kmetijsko-prehranski sektor. Predlog nove zelene arhitekture ocenjujemo pozitivno – zlasti z vidika poenotenja izvedbenih pravil, možnosti uvedbe letnih in večletnih obveznosti. </w:t>
      </w:r>
      <w:r w:rsidRPr="004B3B38">
        <w:rPr>
          <w:rFonts w:cs="Arial"/>
          <w:bCs/>
          <w:szCs w:val="20"/>
          <w:lang w:val="sl-SI"/>
        </w:rPr>
        <w:t>Slovenija pozdravlja predvideno prožnost, zlasti pri sistemu odgovornega gospodarjenja s kmetijami</w:t>
      </w:r>
      <w:r w:rsidR="00DC3BEA" w:rsidRPr="004B3B38">
        <w:rPr>
          <w:rFonts w:cs="Arial"/>
          <w:bCs/>
          <w:szCs w:val="20"/>
          <w:lang w:val="sl-SI"/>
        </w:rPr>
        <w:t xml:space="preserve">, ter </w:t>
      </w:r>
      <w:r w:rsidR="00195290" w:rsidRPr="004B3B38">
        <w:rPr>
          <w:rFonts w:cs="Arial"/>
          <w:bCs/>
          <w:szCs w:val="20"/>
          <w:lang w:val="sl-SI"/>
        </w:rPr>
        <w:t>poenotenje izvedbenih pravil</w:t>
      </w:r>
      <w:r w:rsidR="00DC3BEA" w:rsidRPr="004B3B38">
        <w:rPr>
          <w:rFonts w:cs="Arial"/>
          <w:bCs/>
          <w:szCs w:val="20"/>
          <w:lang w:val="sl-SI"/>
        </w:rPr>
        <w:t xml:space="preserve"> in</w:t>
      </w:r>
      <w:r w:rsidR="00195290" w:rsidRPr="004B3B38">
        <w:rPr>
          <w:rFonts w:cs="Arial"/>
          <w:bCs/>
          <w:szCs w:val="20"/>
          <w:lang w:val="sl-SI"/>
        </w:rPr>
        <w:t xml:space="preserve"> možnost letnih in večletnih obveznosti</w:t>
      </w:r>
      <w:r w:rsidR="00DC3BEA" w:rsidRPr="004B3B38">
        <w:rPr>
          <w:rFonts w:cs="Arial"/>
          <w:bCs/>
          <w:szCs w:val="20"/>
          <w:lang w:val="sl-SI"/>
        </w:rPr>
        <w:t>.</w:t>
      </w:r>
      <w:r w:rsidR="00195290" w:rsidRPr="004B3B38">
        <w:rPr>
          <w:rFonts w:cs="Arial"/>
          <w:bCs/>
          <w:szCs w:val="20"/>
          <w:lang w:val="sl-SI"/>
        </w:rPr>
        <w:t xml:space="preserve"> </w:t>
      </w:r>
      <w:r w:rsidR="00DC3BEA" w:rsidRPr="004B3B38">
        <w:rPr>
          <w:rFonts w:cs="Arial"/>
          <w:bCs/>
          <w:szCs w:val="20"/>
          <w:lang w:val="sl-SI"/>
        </w:rPr>
        <w:t xml:space="preserve">Prav tako je dobrodošla </w:t>
      </w:r>
      <w:r w:rsidR="00195290" w:rsidRPr="004B3B38">
        <w:rPr>
          <w:rFonts w:cs="Arial"/>
          <w:bCs/>
          <w:szCs w:val="20"/>
          <w:lang w:val="sl-SI"/>
        </w:rPr>
        <w:t>nov</w:t>
      </w:r>
      <w:r w:rsidR="00DC3BEA" w:rsidRPr="004B3B38">
        <w:rPr>
          <w:rFonts w:cs="Arial"/>
          <w:bCs/>
          <w:szCs w:val="20"/>
          <w:lang w:val="sl-SI"/>
        </w:rPr>
        <w:t>a</w:t>
      </w:r>
      <w:r w:rsidR="00195290" w:rsidRPr="004B3B38">
        <w:rPr>
          <w:rFonts w:cs="Arial"/>
          <w:bCs/>
          <w:szCs w:val="20"/>
          <w:lang w:val="sl-SI"/>
        </w:rPr>
        <w:t xml:space="preserve"> oblik</w:t>
      </w:r>
      <w:r w:rsidR="00DC3BEA" w:rsidRPr="004B3B38">
        <w:rPr>
          <w:rFonts w:cs="Arial"/>
          <w:bCs/>
          <w:szCs w:val="20"/>
          <w:lang w:val="sl-SI"/>
        </w:rPr>
        <w:t>a</w:t>
      </w:r>
      <w:r w:rsidR="00195290" w:rsidRPr="004B3B38">
        <w:rPr>
          <w:rFonts w:cs="Arial"/>
          <w:bCs/>
          <w:szCs w:val="20"/>
          <w:lang w:val="sl-SI"/>
        </w:rPr>
        <w:t xml:space="preserve"> ukrepa, ki bo </w:t>
      </w:r>
      <w:r w:rsidR="00DC3BEA" w:rsidRPr="004B3B38">
        <w:rPr>
          <w:rFonts w:cs="Arial"/>
          <w:bCs/>
          <w:szCs w:val="20"/>
          <w:lang w:val="sl-SI"/>
        </w:rPr>
        <w:t xml:space="preserve">z elementi poenostavitve in upoštevanja potreb posameznega kmetijskega gospodarstva </w:t>
      </w:r>
      <w:r w:rsidR="00195290" w:rsidRPr="004B3B38">
        <w:rPr>
          <w:rFonts w:cs="Arial"/>
          <w:bCs/>
          <w:szCs w:val="20"/>
          <w:lang w:val="sl-SI"/>
        </w:rPr>
        <w:t xml:space="preserve">dodatno spodbujal trajnostni prehod na odporne sisteme pridelovanja. </w:t>
      </w:r>
    </w:p>
    <w:p w14:paraId="0A01C873" w14:textId="77777777" w:rsidR="00993AB0" w:rsidRPr="004B3B38" w:rsidRDefault="00993AB0" w:rsidP="005350DF">
      <w:pPr>
        <w:spacing w:line="276" w:lineRule="auto"/>
        <w:jc w:val="both"/>
        <w:rPr>
          <w:rFonts w:cs="Arial"/>
          <w:bCs/>
          <w:szCs w:val="20"/>
          <w:lang w:val="sl-SI"/>
        </w:rPr>
      </w:pPr>
    </w:p>
    <w:p w14:paraId="2EC72D7D" w14:textId="182510B5" w:rsidR="00993AB0" w:rsidRPr="004B3B38" w:rsidRDefault="005350DF" w:rsidP="005350DF">
      <w:pPr>
        <w:spacing w:line="276" w:lineRule="auto"/>
        <w:jc w:val="both"/>
        <w:rPr>
          <w:rFonts w:cs="Arial"/>
          <w:bCs/>
          <w:szCs w:val="20"/>
          <w:lang w:val="sl-SI"/>
        </w:rPr>
      </w:pPr>
      <w:r w:rsidRPr="004B3B38">
        <w:rPr>
          <w:rFonts w:cs="Arial"/>
          <w:bCs/>
          <w:szCs w:val="20"/>
          <w:lang w:val="sl-SI"/>
        </w:rPr>
        <w:lastRenderedPageBreak/>
        <w:t xml:space="preserve">Hkrati </w:t>
      </w:r>
      <w:r w:rsidR="00195290" w:rsidRPr="004B3B38">
        <w:rPr>
          <w:rFonts w:cs="Arial"/>
          <w:bCs/>
          <w:szCs w:val="20"/>
          <w:lang w:val="sl-SI"/>
        </w:rPr>
        <w:t xml:space="preserve">pa Slovenija </w:t>
      </w:r>
      <w:r w:rsidRPr="004B3B38">
        <w:rPr>
          <w:rFonts w:cs="Arial"/>
          <w:bCs/>
          <w:szCs w:val="20"/>
          <w:lang w:val="sl-SI"/>
        </w:rPr>
        <w:t xml:space="preserve">opozarja, da je nabor obveznih ukrepov na področju okolja in podnebja preobsežen, kar omejuje prožnost pri upoštevanju specifičnih potreb. Nadalje Slovenija meni, da </w:t>
      </w:r>
      <w:proofErr w:type="spellStart"/>
      <w:r w:rsidRPr="004B3B38">
        <w:rPr>
          <w:rFonts w:cs="Arial"/>
          <w:bCs/>
          <w:szCs w:val="20"/>
          <w:lang w:val="sl-SI"/>
        </w:rPr>
        <w:t>ekstenzifikacija</w:t>
      </w:r>
      <w:proofErr w:type="spellEnd"/>
      <w:r w:rsidRPr="004B3B38">
        <w:rPr>
          <w:rFonts w:cs="Arial"/>
          <w:bCs/>
          <w:szCs w:val="20"/>
          <w:lang w:val="sl-SI"/>
        </w:rPr>
        <w:t xml:space="preserve"> živinoreje ni nujno ustrezen ukrep za podnebne spremembe ali onesnaženje voda v vseh državah članicah. </w:t>
      </w:r>
    </w:p>
    <w:p w14:paraId="79EEECEC" w14:textId="77777777" w:rsidR="00993AB0" w:rsidRPr="004B3B38" w:rsidRDefault="00993AB0" w:rsidP="005350DF">
      <w:pPr>
        <w:spacing w:line="276" w:lineRule="auto"/>
        <w:jc w:val="both"/>
        <w:rPr>
          <w:rFonts w:cs="Arial"/>
          <w:bCs/>
          <w:szCs w:val="20"/>
          <w:lang w:val="sl-SI"/>
        </w:rPr>
      </w:pPr>
    </w:p>
    <w:p w14:paraId="201F7EF2" w14:textId="3D89D80B" w:rsidR="00993AB0" w:rsidRPr="004B3B38" w:rsidRDefault="005350DF" w:rsidP="005350DF">
      <w:pPr>
        <w:spacing w:line="276" w:lineRule="auto"/>
        <w:jc w:val="both"/>
        <w:rPr>
          <w:rFonts w:cs="Arial"/>
          <w:bCs/>
          <w:szCs w:val="20"/>
          <w:lang w:val="sl-SI"/>
        </w:rPr>
      </w:pPr>
      <w:r w:rsidRPr="004B3B38">
        <w:rPr>
          <w:rFonts w:cs="Arial"/>
          <w:bCs/>
          <w:szCs w:val="20"/>
          <w:lang w:val="sl-SI"/>
        </w:rPr>
        <w:t>Prav tako Slovenija meni, da je treba pri plačilih omogočiti tudi kritje ekosistemskih storitev</w:t>
      </w:r>
      <w:r w:rsidR="00993AB0" w:rsidRPr="004B3B38">
        <w:rPr>
          <w:rFonts w:cs="Arial"/>
          <w:bCs/>
          <w:szCs w:val="20"/>
          <w:lang w:val="sl-SI"/>
        </w:rPr>
        <w:t>, ki presegajo zgolj obračun izpada dohodka in dodatne stroške.</w:t>
      </w:r>
    </w:p>
    <w:p w14:paraId="70A9F208" w14:textId="77777777" w:rsidR="00993AB0" w:rsidRPr="004B3B38" w:rsidRDefault="00993AB0" w:rsidP="005350DF">
      <w:pPr>
        <w:spacing w:line="276" w:lineRule="auto"/>
        <w:jc w:val="both"/>
        <w:rPr>
          <w:rFonts w:cs="Arial"/>
          <w:bCs/>
          <w:szCs w:val="20"/>
          <w:lang w:val="sl-SI"/>
        </w:rPr>
      </w:pPr>
    </w:p>
    <w:p w14:paraId="1BFB8F74" w14:textId="7EF2AFA0" w:rsidR="007B1B45" w:rsidRPr="004B3B38" w:rsidRDefault="00D85719" w:rsidP="005350DF">
      <w:pPr>
        <w:spacing w:line="276" w:lineRule="auto"/>
        <w:jc w:val="both"/>
        <w:rPr>
          <w:rFonts w:cs="Arial"/>
          <w:bCs/>
          <w:szCs w:val="20"/>
          <w:lang w:val="sl-SI"/>
        </w:rPr>
      </w:pPr>
      <w:r w:rsidRPr="004B3B38">
        <w:rPr>
          <w:rFonts w:cs="Arial"/>
          <w:bCs/>
          <w:szCs w:val="20"/>
          <w:lang w:val="sl-SI"/>
        </w:rPr>
        <w:t>Kar zadeva socialno pogojenost v okviru dobrega upravljanja kmetij, Slovenija podpira napore za boljše spoštovanje delovno-pravne zakonodaje, pri tem pa se na podlagi dosedanjih izkušenj s socialno pogojenostjo zavzema za dodatne poenostavitve.</w:t>
      </w:r>
      <w:r w:rsidR="00B1647B" w:rsidRPr="004B3B38">
        <w:rPr>
          <w:rFonts w:cs="Arial"/>
          <w:bCs/>
          <w:szCs w:val="20"/>
          <w:lang w:val="sl-SI"/>
        </w:rPr>
        <w:t>.</w:t>
      </w:r>
    </w:p>
    <w:p w14:paraId="4CC80810" w14:textId="77777777" w:rsidR="005350DF" w:rsidRPr="004B3B38" w:rsidRDefault="005350DF" w:rsidP="005350DF">
      <w:pPr>
        <w:spacing w:line="276" w:lineRule="auto"/>
        <w:jc w:val="both"/>
        <w:rPr>
          <w:rFonts w:cs="Arial"/>
          <w:bCs/>
          <w:szCs w:val="20"/>
          <w:lang w:val="sl-SI"/>
        </w:rPr>
      </w:pPr>
    </w:p>
    <w:p w14:paraId="04FB43A2" w14:textId="0D0DF4C6" w:rsidR="00863796" w:rsidRPr="004B3B38" w:rsidRDefault="00863796" w:rsidP="003E4978">
      <w:pPr>
        <w:spacing w:line="276" w:lineRule="auto"/>
        <w:jc w:val="both"/>
        <w:rPr>
          <w:rFonts w:cs="Arial"/>
          <w:bCs/>
          <w:szCs w:val="20"/>
          <w:u w:val="single"/>
          <w:lang w:val="sl-SI"/>
        </w:rPr>
      </w:pPr>
      <w:r w:rsidRPr="004B3B38">
        <w:rPr>
          <w:rFonts w:cs="Arial"/>
          <w:bCs/>
          <w:szCs w:val="20"/>
          <w:u w:val="single"/>
          <w:lang w:val="sl-SI"/>
        </w:rPr>
        <w:t>Degresivna dohodkovna podpora na površino</w:t>
      </w:r>
    </w:p>
    <w:p w14:paraId="5FE1BAD9" w14:textId="77777777" w:rsidR="005350DF" w:rsidRPr="004B3B38" w:rsidRDefault="005350DF" w:rsidP="00A52DB4">
      <w:pPr>
        <w:spacing w:line="276" w:lineRule="auto"/>
        <w:jc w:val="both"/>
        <w:rPr>
          <w:rFonts w:cs="Arial"/>
          <w:bCs/>
          <w:szCs w:val="20"/>
          <w:lang w:val="sl-SI"/>
        </w:rPr>
      </w:pPr>
    </w:p>
    <w:p w14:paraId="0BCE36D3" w14:textId="05BA7117" w:rsidR="005350DF" w:rsidRPr="004B3B38" w:rsidRDefault="005350DF" w:rsidP="005350DF">
      <w:pPr>
        <w:spacing w:line="276" w:lineRule="auto"/>
        <w:jc w:val="both"/>
        <w:rPr>
          <w:rFonts w:cs="Arial"/>
          <w:bCs/>
          <w:szCs w:val="20"/>
          <w:lang w:val="sl-SI"/>
        </w:rPr>
      </w:pPr>
      <w:r w:rsidRPr="004B3B38">
        <w:rPr>
          <w:rFonts w:cs="Arial"/>
          <w:bCs/>
          <w:szCs w:val="20"/>
          <w:lang w:val="sl-SI"/>
        </w:rPr>
        <w:t>Za zagotovitev enakih konkurenčnih pogojev in skupnega okvira za podporo kmetijskemu sektorju želi Evropska komisija vzpostaviti skupni okvir Skupne kmetijske politike (SKP), ki bo ciljno podpiral tiste, ki to najbolj potrebujejo. Posebej to odraža degresivn</w:t>
      </w:r>
      <w:r w:rsidR="006B709D" w:rsidRPr="004B3B38">
        <w:rPr>
          <w:rFonts w:cs="Arial"/>
          <w:bCs/>
          <w:szCs w:val="20"/>
          <w:lang w:val="sl-SI"/>
        </w:rPr>
        <w:t>a</w:t>
      </w:r>
      <w:r w:rsidRPr="004B3B38">
        <w:rPr>
          <w:rFonts w:cs="Arial"/>
          <w:bCs/>
          <w:szCs w:val="20"/>
          <w:lang w:val="sl-SI"/>
        </w:rPr>
        <w:t xml:space="preserve"> dohodkovn</w:t>
      </w:r>
      <w:r w:rsidR="006B709D" w:rsidRPr="004B3B38">
        <w:rPr>
          <w:rFonts w:cs="Arial"/>
          <w:bCs/>
          <w:szCs w:val="20"/>
          <w:lang w:val="sl-SI"/>
        </w:rPr>
        <w:t>a</w:t>
      </w:r>
      <w:r w:rsidRPr="004B3B38">
        <w:rPr>
          <w:rFonts w:cs="Arial"/>
          <w:bCs/>
          <w:szCs w:val="20"/>
          <w:lang w:val="sl-SI"/>
        </w:rPr>
        <w:t xml:space="preserve"> podpor</w:t>
      </w:r>
      <w:r w:rsidR="006B709D" w:rsidRPr="004B3B38">
        <w:rPr>
          <w:rFonts w:cs="Arial"/>
          <w:bCs/>
          <w:szCs w:val="20"/>
          <w:lang w:val="sl-SI"/>
        </w:rPr>
        <w:t>a</w:t>
      </w:r>
      <w:r w:rsidRPr="004B3B38">
        <w:rPr>
          <w:rFonts w:cs="Arial"/>
          <w:bCs/>
          <w:szCs w:val="20"/>
          <w:lang w:val="sl-SI"/>
        </w:rPr>
        <w:t xml:space="preserve"> na površino, ki nadomešča sedanjo osnovno dohodkovno podporo za trajnost in vključuje pravila za degresijo.</w:t>
      </w:r>
    </w:p>
    <w:p w14:paraId="011A0556" w14:textId="77777777" w:rsidR="005350DF" w:rsidRPr="004B3B38" w:rsidRDefault="005350DF" w:rsidP="005350DF">
      <w:pPr>
        <w:spacing w:line="276" w:lineRule="auto"/>
        <w:jc w:val="both"/>
        <w:rPr>
          <w:rFonts w:cs="Arial"/>
          <w:bCs/>
          <w:szCs w:val="20"/>
          <w:lang w:val="sl-SI"/>
        </w:rPr>
      </w:pPr>
    </w:p>
    <w:p w14:paraId="5E4B6F0F" w14:textId="5C912904"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Z vidika sedanjih neposrednih plačil se ukinja poimenovanje „neposredna plačila“ ter </w:t>
      </w:r>
      <w:proofErr w:type="spellStart"/>
      <w:r w:rsidRPr="004B3B38">
        <w:rPr>
          <w:rFonts w:cs="Arial"/>
          <w:bCs/>
          <w:szCs w:val="20"/>
          <w:lang w:val="sl-SI"/>
        </w:rPr>
        <w:t>prerazporeditveno</w:t>
      </w:r>
      <w:proofErr w:type="spellEnd"/>
      <w:r w:rsidRPr="004B3B38">
        <w:rPr>
          <w:rFonts w:cs="Arial"/>
          <w:bCs/>
          <w:szCs w:val="20"/>
          <w:lang w:val="sl-SI"/>
        </w:rPr>
        <w:t xml:space="preserve"> plačilo, plačilo za mlade kmete in shemo SOPO. Degresivna dohodkovna podpora na površino ostaja podpora na hektar kmetijskih površin, vendar prinaša nekaj pomembnih novosti:</w:t>
      </w:r>
    </w:p>
    <w:p w14:paraId="0EF082D9" w14:textId="463B9733" w:rsidR="005350DF" w:rsidRPr="004B3B38" w:rsidRDefault="005350DF" w:rsidP="005350DF">
      <w:pPr>
        <w:spacing w:line="276" w:lineRule="auto"/>
        <w:jc w:val="both"/>
        <w:rPr>
          <w:rFonts w:cs="Arial"/>
          <w:bCs/>
          <w:szCs w:val="20"/>
          <w:lang w:val="sl-SI"/>
        </w:rPr>
      </w:pPr>
    </w:p>
    <w:p w14:paraId="3BD86918" w14:textId="6E84873E" w:rsidR="005350DF" w:rsidRPr="004B3B38" w:rsidRDefault="005350DF" w:rsidP="005350DF">
      <w:pPr>
        <w:spacing w:line="276" w:lineRule="auto"/>
        <w:jc w:val="both"/>
        <w:rPr>
          <w:rFonts w:cs="Arial"/>
          <w:bCs/>
          <w:szCs w:val="20"/>
          <w:lang w:val="sl-SI"/>
        </w:rPr>
      </w:pPr>
      <w:r w:rsidRPr="004B3B38">
        <w:rPr>
          <w:rFonts w:cs="Arial"/>
          <w:bCs/>
          <w:szCs w:val="20"/>
          <w:lang w:val="sl-SI"/>
        </w:rPr>
        <w:t>– Podpora se</w:t>
      </w:r>
      <w:r w:rsidR="006663AC" w:rsidRPr="004B3B38">
        <w:rPr>
          <w:rFonts w:cs="Arial"/>
          <w:bCs/>
          <w:szCs w:val="20"/>
          <w:lang w:val="sl-SI"/>
        </w:rPr>
        <w:t xml:space="preserve"> diferencira glede na skupine kmetov ali geografska območja na podlagi objektivnih in nediskriminatornih meril, v ta namen pa se skupine kmetov ali geografska območja se določijo na podlagi dohodka kmetov iz kmetijske dejavnosti v reprezentativnem referenčnem obdobju.</w:t>
      </w:r>
      <w:r w:rsidRPr="004B3B38">
        <w:rPr>
          <w:rFonts w:cs="Arial"/>
          <w:bCs/>
          <w:szCs w:val="20"/>
          <w:lang w:val="sl-SI"/>
        </w:rPr>
        <w:t xml:space="preserve"> </w:t>
      </w:r>
      <w:r w:rsidR="006663AC" w:rsidRPr="004B3B38">
        <w:rPr>
          <w:rFonts w:cs="Arial"/>
          <w:bCs/>
          <w:szCs w:val="20"/>
          <w:lang w:val="sl-SI"/>
        </w:rPr>
        <w:t xml:space="preserve">Države članice pri diferenciranju plačil podporo usmerijo kmetom, ki jo najbolj potrebujejo, zlasti mladim in novim kmetom, ženskam, družinskim ali malim kmetom, kmetom, ki združujejo pridelavo kmetijskih rastlin in živinorejo, ali kmetom na </w:t>
      </w:r>
      <w:proofErr w:type="spellStart"/>
      <w:r w:rsidR="006663AC" w:rsidRPr="004B3B38">
        <w:rPr>
          <w:rFonts w:cs="Arial"/>
          <w:bCs/>
          <w:szCs w:val="20"/>
          <w:lang w:val="sl-SI"/>
        </w:rPr>
        <w:t>območjih</w:t>
      </w:r>
      <w:r w:rsidRPr="004B3B38">
        <w:rPr>
          <w:rFonts w:cs="Arial"/>
          <w:bCs/>
          <w:szCs w:val="20"/>
          <w:lang w:val="sl-SI"/>
        </w:rPr>
        <w:t>a</w:t>
      </w:r>
      <w:proofErr w:type="spellEnd"/>
      <w:r w:rsidRPr="004B3B38">
        <w:rPr>
          <w:rFonts w:cs="Arial"/>
          <w:bCs/>
          <w:szCs w:val="20"/>
          <w:lang w:val="sl-SI"/>
        </w:rPr>
        <w:t xml:space="preserve"> z omejenimi možnostmi za razvoj. Podpora mora biti obvezno višja za mlade kmete</w:t>
      </w:r>
      <w:r w:rsidR="006B709D" w:rsidRPr="004B3B38">
        <w:rPr>
          <w:rFonts w:cs="Arial"/>
          <w:bCs/>
          <w:szCs w:val="20"/>
          <w:lang w:val="sl-SI"/>
        </w:rPr>
        <w:t>.</w:t>
      </w:r>
      <w:r w:rsidRPr="004B3B38">
        <w:rPr>
          <w:rFonts w:cs="Arial"/>
          <w:bCs/>
          <w:szCs w:val="20"/>
          <w:lang w:val="sl-SI"/>
        </w:rPr>
        <w:t xml:space="preserve"> </w:t>
      </w:r>
      <w:r w:rsidR="006663AC" w:rsidRPr="004B3B38">
        <w:rPr>
          <w:rFonts w:cs="Arial"/>
          <w:bCs/>
          <w:szCs w:val="20"/>
          <w:lang w:val="sl-SI"/>
        </w:rPr>
        <w:t xml:space="preserve">Prav tako mora biti </w:t>
      </w:r>
      <w:r w:rsidRPr="004B3B38">
        <w:rPr>
          <w:rFonts w:cs="Arial"/>
          <w:bCs/>
          <w:szCs w:val="20"/>
          <w:lang w:val="sl-SI"/>
        </w:rPr>
        <w:t xml:space="preserve">prvenstveno namenjena </w:t>
      </w:r>
      <w:r w:rsidR="006A0245" w:rsidRPr="004B3B38">
        <w:rPr>
          <w:rFonts w:cs="Arial"/>
          <w:bCs/>
          <w:szCs w:val="20"/>
          <w:lang w:val="sl-SI"/>
        </w:rPr>
        <w:t>kmetom</w:t>
      </w:r>
      <w:r w:rsidRPr="004B3B38">
        <w:rPr>
          <w:rFonts w:cs="Arial"/>
          <w:bCs/>
          <w:szCs w:val="20"/>
          <w:lang w:val="sl-SI"/>
        </w:rPr>
        <w:t xml:space="preserve">, ki na svojem kmetijskem gospodarstvu opravljajo kmetijsko dejavnost ter </w:t>
      </w:r>
      <w:r w:rsidR="006A0245" w:rsidRPr="004B3B38">
        <w:rPr>
          <w:rFonts w:cs="Arial"/>
          <w:bCs/>
          <w:szCs w:val="20"/>
          <w:lang w:val="sl-SI"/>
        </w:rPr>
        <w:t xml:space="preserve">dejavno </w:t>
      </w:r>
      <w:r w:rsidRPr="004B3B38">
        <w:rPr>
          <w:rFonts w:cs="Arial"/>
          <w:bCs/>
          <w:szCs w:val="20"/>
          <w:lang w:val="sl-SI"/>
        </w:rPr>
        <w:t>prispevajo k prehranski varnosti. Za</w:t>
      </w:r>
      <w:r w:rsidR="006A0245" w:rsidRPr="004B3B38">
        <w:rPr>
          <w:rFonts w:cs="Arial"/>
          <w:bCs/>
          <w:szCs w:val="20"/>
          <w:lang w:val="sl-SI"/>
        </w:rPr>
        <w:t xml:space="preserve"> </w:t>
      </w:r>
      <w:r w:rsidRPr="004B3B38">
        <w:rPr>
          <w:rFonts w:cs="Arial"/>
          <w:bCs/>
          <w:szCs w:val="20"/>
          <w:lang w:val="sl-SI"/>
        </w:rPr>
        <w:t>upravičence se štejejo tudi mali kmetje, katerih glavna dejavnost ni kmetijstvo, vendar opravljajo vsaj minimalno raven kmetijske dejavnosti, kot jo določijo države članice. Ni jasno, ali gre za strožji pristop v primerjavi s sedanjim pogojem aktivnega kmeta;</w:t>
      </w:r>
    </w:p>
    <w:p w14:paraId="78448246" w14:textId="77777777" w:rsidR="005350DF" w:rsidRPr="004B3B38" w:rsidRDefault="005350DF" w:rsidP="005350DF">
      <w:pPr>
        <w:spacing w:line="276" w:lineRule="auto"/>
        <w:jc w:val="both"/>
        <w:rPr>
          <w:rFonts w:cs="Arial"/>
          <w:bCs/>
          <w:szCs w:val="20"/>
          <w:lang w:val="sl-SI"/>
        </w:rPr>
      </w:pPr>
    </w:p>
    <w:p w14:paraId="7746BF59" w14:textId="16220753" w:rsidR="005350DF" w:rsidRPr="004B3B38" w:rsidRDefault="005350DF" w:rsidP="005350DF">
      <w:pPr>
        <w:spacing w:line="276" w:lineRule="auto"/>
        <w:jc w:val="both"/>
        <w:rPr>
          <w:rFonts w:cs="Arial"/>
          <w:bCs/>
          <w:szCs w:val="20"/>
          <w:lang w:val="sl-SI"/>
        </w:rPr>
      </w:pPr>
      <w:r w:rsidRPr="004B3B38">
        <w:rPr>
          <w:rFonts w:cs="Arial"/>
          <w:bCs/>
          <w:szCs w:val="20"/>
          <w:lang w:val="sl-SI"/>
        </w:rPr>
        <w:t>– Kmetje, ki so skladno z nacionalno zakonodajo dosegli starostni pogoj za upokojitev in prejemajo pokojnino, niso več upravičeni do podpore za osnovno plačilo. Izvajanje tega koncepta se mora začeti najpozneje z letom 2032;</w:t>
      </w:r>
    </w:p>
    <w:p w14:paraId="7027A65A" w14:textId="327FC1D0" w:rsidR="005350DF" w:rsidRPr="004B3B38" w:rsidRDefault="005350DF" w:rsidP="005350DF">
      <w:pPr>
        <w:spacing w:line="276" w:lineRule="auto"/>
        <w:jc w:val="both"/>
        <w:rPr>
          <w:rFonts w:cs="Arial"/>
          <w:bCs/>
          <w:szCs w:val="20"/>
          <w:lang w:val="sl-SI"/>
        </w:rPr>
      </w:pPr>
    </w:p>
    <w:p w14:paraId="3C25AFA0" w14:textId="174C059B" w:rsidR="005350DF" w:rsidRPr="004B3B38" w:rsidRDefault="005350DF" w:rsidP="005350DF">
      <w:pPr>
        <w:spacing w:line="276" w:lineRule="auto"/>
        <w:jc w:val="both"/>
        <w:rPr>
          <w:rFonts w:cs="Arial"/>
          <w:bCs/>
          <w:szCs w:val="20"/>
          <w:lang w:val="sl-SI"/>
        </w:rPr>
      </w:pPr>
      <w:r w:rsidRPr="004B3B38">
        <w:rPr>
          <w:rFonts w:cs="Arial"/>
          <w:bCs/>
          <w:szCs w:val="20"/>
          <w:lang w:val="sl-SI"/>
        </w:rPr>
        <w:t>– Države članice se lahko odločijo, da namesto plačila na hektar uporabijo pavšal na KMG;</w:t>
      </w:r>
    </w:p>
    <w:p w14:paraId="0CCF5A61" w14:textId="77777777" w:rsidR="005350DF" w:rsidRPr="004B3B38" w:rsidRDefault="005350DF" w:rsidP="005350DF">
      <w:pPr>
        <w:spacing w:line="276" w:lineRule="auto"/>
        <w:jc w:val="both"/>
        <w:rPr>
          <w:rFonts w:cs="Arial"/>
          <w:bCs/>
          <w:szCs w:val="20"/>
          <w:lang w:val="sl-SI"/>
        </w:rPr>
      </w:pPr>
    </w:p>
    <w:p w14:paraId="09CAF922" w14:textId="7D8E3BEB" w:rsidR="005350DF" w:rsidRPr="004B3B38" w:rsidRDefault="005350DF" w:rsidP="005350DF">
      <w:pPr>
        <w:spacing w:line="276" w:lineRule="auto"/>
        <w:jc w:val="both"/>
        <w:rPr>
          <w:rFonts w:cs="Arial"/>
          <w:bCs/>
          <w:szCs w:val="20"/>
          <w:lang w:val="sl-SI"/>
        </w:rPr>
      </w:pPr>
      <w:r w:rsidRPr="004B3B38">
        <w:rPr>
          <w:rFonts w:cs="Arial"/>
          <w:bCs/>
          <w:szCs w:val="20"/>
          <w:lang w:val="sl-SI"/>
        </w:rPr>
        <w:t>– Uvaja se obvezna zgornja meja podpore na nosilca KMG (»kapica«) v višini 100.000 EUR na leto. Pri pravnih osebah ali skupinah pravnih oseb ta omejitev zajema vsa kmetijska gospodarstva pod nadzorom ene pravne ali fizične osebe;</w:t>
      </w:r>
    </w:p>
    <w:p w14:paraId="4AC4422D" w14:textId="77777777" w:rsidR="005350DF" w:rsidRPr="004B3B38" w:rsidRDefault="005350DF" w:rsidP="005350DF">
      <w:pPr>
        <w:spacing w:line="276" w:lineRule="auto"/>
        <w:jc w:val="both"/>
        <w:rPr>
          <w:rFonts w:cs="Arial"/>
          <w:bCs/>
          <w:szCs w:val="20"/>
          <w:lang w:val="sl-SI"/>
        </w:rPr>
      </w:pPr>
    </w:p>
    <w:p w14:paraId="662B945C" w14:textId="15A4E3A0" w:rsidR="005350DF" w:rsidRPr="004B3B38" w:rsidRDefault="005350DF" w:rsidP="005350DF">
      <w:pPr>
        <w:spacing w:line="276" w:lineRule="auto"/>
        <w:jc w:val="both"/>
        <w:rPr>
          <w:rFonts w:cs="Arial"/>
          <w:bCs/>
          <w:szCs w:val="20"/>
          <w:lang w:val="sl-SI"/>
        </w:rPr>
      </w:pPr>
      <w:r w:rsidRPr="004B3B38">
        <w:rPr>
          <w:rFonts w:cs="Arial"/>
          <w:bCs/>
          <w:szCs w:val="20"/>
          <w:lang w:val="sl-SI"/>
        </w:rPr>
        <w:t>– V nasprotju s sedanjimi pravili se zniževanje dohodkovne podpore prične pri 20.000 EUR na nosilca KMG (sedaj pri XXX) in poteka v tranšah z naraščajočim odstotkom znižanja:</w:t>
      </w:r>
    </w:p>
    <w:p w14:paraId="30E7695C" w14:textId="77777777" w:rsidR="005350DF" w:rsidRPr="004B3B38" w:rsidRDefault="005350DF" w:rsidP="005350DF">
      <w:pPr>
        <w:spacing w:line="276" w:lineRule="auto"/>
        <w:jc w:val="both"/>
        <w:rPr>
          <w:rFonts w:cs="Arial"/>
          <w:bCs/>
          <w:szCs w:val="20"/>
          <w:lang w:val="sl-SI"/>
        </w:rPr>
      </w:pPr>
      <w:r w:rsidRPr="004B3B38">
        <w:rPr>
          <w:rFonts w:cs="Arial"/>
          <w:bCs/>
          <w:szCs w:val="20"/>
          <w:lang w:val="sl-SI"/>
        </w:rPr>
        <w:t>• Tranša nad 20.000 EUR do vključno 50.000 EUR: 25 %;</w:t>
      </w:r>
    </w:p>
    <w:p w14:paraId="38C1C364" w14:textId="77777777" w:rsidR="005350DF" w:rsidRPr="004B3B38" w:rsidRDefault="005350DF" w:rsidP="005350DF">
      <w:pPr>
        <w:spacing w:line="276" w:lineRule="auto"/>
        <w:jc w:val="both"/>
        <w:rPr>
          <w:rFonts w:cs="Arial"/>
          <w:bCs/>
          <w:szCs w:val="20"/>
          <w:lang w:val="sl-SI"/>
        </w:rPr>
      </w:pPr>
      <w:r w:rsidRPr="004B3B38">
        <w:rPr>
          <w:rFonts w:cs="Arial"/>
          <w:bCs/>
          <w:szCs w:val="20"/>
          <w:lang w:val="sl-SI"/>
        </w:rPr>
        <w:t>• Tranša nad 50.000 EUR do vključno 75.000 EUR: 50 %;</w:t>
      </w:r>
    </w:p>
    <w:p w14:paraId="7C71AC6A" w14:textId="77777777" w:rsidR="005350DF" w:rsidRPr="004B3B38" w:rsidRDefault="005350DF" w:rsidP="005350DF">
      <w:pPr>
        <w:spacing w:line="276" w:lineRule="auto"/>
        <w:jc w:val="both"/>
        <w:rPr>
          <w:rFonts w:cs="Arial"/>
          <w:bCs/>
          <w:szCs w:val="20"/>
          <w:lang w:val="sl-SI"/>
        </w:rPr>
      </w:pPr>
      <w:r w:rsidRPr="004B3B38">
        <w:rPr>
          <w:rFonts w:cs="Arial"/>
          <w:bCs/>
          <w:szCs w:val="20"/>
          <w:lang w:val="sl-SI"/>
        </w:rPr>
        <w:t>• Tranša nad 75.000 EUR: 75 %.</w:t>
      </w:r>
    </w:p>
    <w:p w14:paraId="2FF05D96" w14:textId="77777777" w:rsidR="005350DF" w:rsidRPr="004B3B38" w:rsidRDefault="005350DF" w:rsidP="005350DF">
      <w:pPr>
        <w:spacing w:line="276" w:lineRule="auto"/>
        <w:jc w:val="both"/>
        <w:rPr>
          <w:rFonts w:cs="Arial"/>
          <w:bCs/>
          <w:szCs w:val="20"/>
          <w:lang w:val="sl-SI"/>
        </w:rPr>
      </w:pPr>
    </w:p>
    <w:p w14:paraId="33431FBB" w14:textId="3F489412" w:rsidR="005350DF" w:rsidRPr="004B3B38" w:rsidRDefault="005350DF" w:rsidP="005350DF">
      <w:pPr>
        <w:spacing w:line="276" w:lineRule="auto"/>
        <w:jc w:val="both"/>
        <w:rPr>
          <w:rFonts w:cs="Arial"/>
          <w:bCs/>
          <w:szCs w:val="20"/>
          <w:lang w:val="sl-SI"/>
        </w:rPr>
      </w:pPr>
      <w:r w:rsidRPr="004B3B38">
        <w:rPr>
          <w:rFonts w:cs="Arial"/>
          <w:bCs/>
          <w:szCs w:val="20"/>
          <w:lang w:val="sl-SI"/>
        </w:rPr>
        <w:lastRenderedPageBreak/>
        <w:t xml:space="preserve">Predlog uredbe NRP v okviru finančnih določb določa najvišji in najnižji </w:t>
      </w:r>
      <w:r w:rsidR="000869CD" w:rsidRPr="004B3B38">
        <w:rPr>
          <w:rFonts w:cs="Arial"/>
          <w:bCs/>
          <w:szCs w:val="20"/>
          <w:lang w:val="sl-SI"/>
        </w:rPr>
        <w:t xml:space="preserve">načrtovan povprečen </w:t>
      </w:r>
      <w:r w:rsidRPr="004B3B38">
        <w:rPr>
          <w:rFonts w:cs="Arial"/>
          <w:bCs/>
          <w:szCs w:val="20"/>
          <w:lang w:val="sl-SI"/>
        </w:rPr>
        <w:t>znesek te podpore na hektar (</w:t>
      </w:r>
      <w:r w:rsidR="00E77900" w:rsidRPr="004B3B38">
        <w:rPr>
          <w:rFonts w:cs="Arial"/>
          <w:bCs/>
          <w:szCs w:val="20"/>
          <w:lang w:val="sl-SI"/>
        </w:rPr>
        <w:t>130 EUR in 240 EUR</w:t>
      </w:r>
      <w:r w:rsidRPr="004B3B38">
        <w:rPr>
          <w:rFonts w:cs="Arial"/>
          <w:bCs/>
          <w:szCs w:val="20"/>
          <w:lang w:val="sl-SI"/>
        </w:rPr>
        <w:t>).</w:t>
      </w:r>
    </w:p>
    <w:p w14:paraId="3125136A" w14:textId="77777777" w:rsidR="005350DF" w:rsidRPr="004B3B38" w:rsidRDefault="005350DF" w:rsidP="005350DF">
      <w:pPr>
        <w:spacing w:line="276" w:lineRule="auto"/>
        <w:jc w:val="both"/>
        <w:rPr>
          <w:rFonts w:cs="Arial"/>
          <w:bCs/>
          <w:szCs w:val="20"/>
          <w:lang w:val="sl-SI"/>
        </w:rPr>
      </w:pPr>
    </w:p>
    <w:p w14:paraId="2D96E5B4" w14:textId="18FFB898"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Slovenija meni, da mora biti dohodkovna podpora za kmete še naprej osrednji instrument politike za zagotavljanje pravičnega dohodka kmetom ter trajnostnega kmetovanja in proizvodnje hrane. Slovenija pozdravlja, da se tudi v prihodnje ohranja </w:t>
      </w:r>
      <w:r w:rsidR="00E77900" w:rsidRPr="004B3B38">
        <w:rPr>
          <w:rFonts w:cs="Arial"/>
          <w:bCs/>
          <w:szCs w:val="20"/>
          <w:lang w:val="sl-SI"/>
        </w:rPr>
        <w:t>dohodkovno</w:t>
      </w:r>
      <w:r w:rsidRPr="004B3B38">
        <w:rPr>
          <w:rFonts w:cs="Arial"/>
          <w:bCs/>
          <w:szCs w:val="20"/>
          <w:lang w:val="sl-SI"/>
        </w:rPr>
        <w:t xml:space="preserve"> plačilo na površino, ki vključuje ciljno usmerjanje podpor </w:t>
      </w:r>
      <w:r w:rsidR="00F85C45" w:rsidRPr="004B3B38">
        <w:rPr>
          <w:rFonts w:cs="Arial"/>
          <w:bCs/>
          <w:szCs w:val="20"/>
          <w:lang w:val="sl-SI"/>
        </w:rPr>
        <w:t>in s poudarkom na zagotavljanju te podpore kmetom, ki aktivno</w:t>
      </w:r>
      <w:r w:rsidRPr="004B3B38">
        <w:rPr>
          <w:rFonts w:cs="Arial"/>
          <w:bCs/>
          <w:szCs w:val="20"/>
          <w:lang w:val="sl-SI"/>
        </w:rPr>
        <w:t xml:space="preserve"> prispevajo k prehranski varnosti.</w:t>
      </w:r>
      <w:r w:rsidR="00F46F47" w:rsidRPr="004B3B38">
        <w:rPr>
          <w:rFonts w:cs="Arial"/>
          <w:bCs/>
          <w:szCs w:val="20"/>
          <w:lang w:val="sl-SI"/>
        </w:rPr>
        <w:t xml:space="preserve"> Večja ciljnost in pravičnost dohodkovne podpore kmetom, vključno z degresivnostjo in kapico je korak v pravo smer. Vendar je treba proučiti, ali so smiselno, da se v tolikšni meri predpiše  ciljno usmerjanje</w:t>
      </w:r>
      <w:r w:rsidRPr="004B3B38">
        <w:rPr>
          <w:rFonts w:cs="Arial"/>
          <w:bCs/>
          <w:szCs w:val="20"/>
          <w:lang w:val="sl-SI"/>
        </w:rPr>
        <w:t xml:space="preserve"> in </w:t>
      </w:r>
      <w:r w:rsidR="00F46F47" w:rsidRPr="004B3B38">
        <w:rPr>
          <w:rFonts w:cs="Arial"/>
          <w:bCs/>
          <w:szCs w:val="20"/>
          <w:lang w:val="sl-SI"/>
        </w:rPr>
        <w:t xml:space="preserve">s tem </w:t>
      </w:r>
      <w:r w:rsidRPr="004B3B38">
        <w:rPr>
          <w:rFonts w:cs="Arial"/>
          <w:bCs/>
          <w:szCs w:val="20"/>
          <w:lang w:val="sl-SI"/>
        </w:rPr>
        <w:t xml:space="preserve">omejuje prožnost države članice ter prilagoditve posebnostim strukture kmetijstva. Prav tako podatki o dohodkih </w:t>
      </w:r>
      <w:r w:rsidR="00E77900" w:rsidRPr="004B3B38">
        <w:rPr>
          <w:rFonts w:cs="Arial"/>
          <w:bCs/>
          <w:szCs w:val="20"/>
          <w:lang w:val="sl-SI"/>
        </w:rPr>
        <w:t xml:space="preserve">niso </w:t>
      </w:r>
      <w:r w:rsidRPr="004B3B38">
        <w:rPr>
          <w:rFonts w:cs="Arial"/>
          <w:bCs/>
          <w:szCs w:val="20"/>
          <w:lang w:val="sl-SI"/>
        </w:rPr>
        <w:t>na voljo</w:t>
      </w:r>
      <w:r w:rsidR="00E77900" w:rsidRPr="004B3B38">
        <w:rPr>
          <w:rFonts w:cs="Arial"/>
          <w:bCs/>
          <w:szCs w:val="20"/>
          <w:lang w:val="sl-SI"/>
        </w:rPr>
        <w:t xml:space="preserve"> za vsi kmete</w:t>
      </w:r>
      <w:r w:rsidRPr="004B3B38">
        <w:rPr>
          <w:rFonts w:cs="Arial"/>
          <w:bCs/>
          <w:szCs w:val="20"/>
          <w:lang w:val="sl-SI"/>
        </w:rPr>
        <w:t>. Slovenija se ne strinja z izločitvijo kmetov, ki so upokojeni, saj to ne zagotavlja, da bodo njihove kmetijske površine prevzeli mlajši ali novi kmetje, zlasti na območjih z omejenimi razvojnimi možnostmi.</w:t>
      </w:r>
      <w:r w:rsidR="00CF0DDB" w:rsidRPr="004B3B38">
        <w:rPr>
          <w:rFonts w:cs="Arial"/>
          <w:bCs/>
          <w:szCs w:val="20"/>
          <w:lang w:val="sl-SI"/>
        </w:rPr>
        <w:t xml:space="preserve"> Zato se zavzema, da je ta odločitev prepuščena državi članici.</w:t>
      </w:r>
    </w:p>
    <w:p w14:paraId="10F6FA7E" w14:textId="77777777" w:rsidR="005350DF" w:rsidRPr="004B3B38" w:rsidRDefault="005350DF" w:rsidP="005350DF">
      <w:pPr>
        <w:spacing w:line="276" w:lineRule="auto"/>
        <w:jc w:val="both"/>
        <w:rPr>
          <w:rFonts w:cs="Arial"/>
          <w:bCs/>
          <w:szCs w:val="20"/>
          <w:lang w:val="sl-SI"/>
        </w:rPr>
      </w:pPr>
    </w:p>
    <w:p w14:paraId="0D6F33C3" w14:textId="16651276" w:rsidR="00A27900" w:rsidRPr="004B3B38" w:rsidRDefault="005350DF" w:rsidP="005350DF">
      <w:pPr>
        <w:spacing w:line="276" w:lineRule="auto"/>
        <w:jc w:val="both"/>
        <w:rPr>
          <w:rFonts w:cs="Arial"/>
          <w:bCs/>
          <w:szCs w:val="20"/>
          <w:lang w:val="sl-SI"/>
        </w:rPr>
      </w:pPr>
      <w:r w:rsidRPr="004B3B38">
        <w:rPr>
          <w:rFonts w:cs="Arial"/>
          <w:bCs/>
          <w:szCs w:val="20"/>
          <w:lang w:val="sl-SI"/>
        </w:rPr>
        <w:t xml:space="preserve">Za Slovenijo je pomembno, da se </w:t>
      </w:r>
      <w:r w:rsidR="00C673E8" w:rsidRPr="004B3B38">
        <w:rPr>
          <w:rFonts w:cs="Arial"/>
          <w:bCs/>
          <w:szCs w:val="20"/>
          <w:lang w:val="sl-SI"/>
        </w:rPr>
        <w:t xml:space="preserve">dejansko omogoči </w:t>
      </w:r>
      <w:r w:rsidRPr="004B3B38">
        <w:rPr>
          <w:rFonts w:cs="Arial"/>
          <w:bCs/>
          <w:szCs w:val="20"/>
          <w:lang w:val="sl-SI"/>
        </w:rPr>
        <w:t xml:space="preserve">dodelitev </w:t>
      </w:r>
      <w:r w:rsidR="00C673E8" w:rsidRPr="004B3B38">
        <w:rPr>
          <w:rFonts w:cs="Arial"/>
          <w:bCs/>
          <w:szCs w:val="20"/>
          <w:lang w:val="sl-SI"/>
        </w:rPr>
        <w:t xml:space="preserve">te </w:t>
      </w:r>
      <w:r w:rsidRPr="004B3B38">
        <w:rPr>
          <w:rFonts w:cs="Arial"/>
          <w:bCs/>
          <w:szCs w:val="20"/>
          <w:lang w:val="sl-SI"/>
        </w:rPr>
        <w:t xml:space="preserve">podpore le tistim osebam, katerih glavna dejavnost je kmetijstvo, pri </w:t>
      </w:r>
      <w:r w:rsidR="00C673E8" w:rsidRPr="004B3B38">
        <w:rPr>
          <w:rFonts w:cs="Arial"/>
          <w:bCs/>
          <w:szCs w:val="20"/>
          <w:lang w:val="sl-SI"/>
        </w:rPr>
        <w:t>tem pa zagotoviti, da niso izključeni</w:t>
      </w:r>
      <w:r w:rsidRPr="004B3B38">
        <w:rPr>
          <w:rFonts w:cs="Arial"/>
          <w:bCs/>
          <w:szCs w:val="20"/>
          <w:lang w:val="sl-SI"/>
        </w:rPr>
        <w:t xml:space="preserve"> mali kmetje in kmetje z več dejavnostmi, ki opravljajo vsaj minimalno kmetijsko dejavnost. Nadalje Slovenija meni, da bi določba o najvišjem in najnižjem znesku podpore na hektar morala biti vključena v uredbo SKP.</w:t>
      </w:r>
    </w:p>
    <w:p w14:paraId="40CC1E22" w14:textId="77777777" w:rsidR="005350DF" w:rsidRPr="004B3B38" w:rsidRDefault="005350DF" w:rsidP="005350DF">
      <w:pPr>
        <w:spacing w:line="276" w:lineRule="auto"/>
        <w:jc w:val="both"/>
        <w:rPr>
          <w:rFonts w:cs="Arial"/>
          <w:bCs/>
          <w:szCs w:val="20"/>
          <w:lang w:val="sl-SI"/>
        </w:rPr>
      </w:pPr>
    </w:p>
    <w:p w14:paraId="3971CB55" w14:textId="40F3CCE3" w:rsidR="00A27900" w:rsidRPr="004B3B38" w:rsidRDefault="00863796" w:rsidP="003E4978">
      <w:pPr>
        <w:spacing w:line="276" w:lineRule="auto"/>
        <w:jc w:val="both"/>
        <w:rPr>
          <w:rFonts w:cs="Arial"/>
          <w:bCs/>
          <w:szCs w:val="20"/>
          <w:u w:val="single"/>
          <w:lang w:val="sl-SI"/>
        </w:rPr>
      </w:pPr>
      <w:r w:rsidRPr="004B3B38">
        <w:rPr>
          <w:rFonts w:cs="Arial"/>
          <w:bCs/>
          <w:szCs w:val="20"/>
          <w:u w:val="single"/>
          <w:lang w:val="sl-SI"/>
        </w:rPr>
        <w:t>Plačilo za male kmete</w:t>
      </w:r>
    </w:p>
    <w:p w14:paraId="6407EFBD" w14:textId="77777777" w:rsidR="00CA27D5" w:rsidRPr="004B3B38" w:rsidRDefault="00CA27D5" w:rsidP="003E4978">
      <w:pPr>
        <w:spacing w:line="276" w:lineRule="auto"/>
        <w:jc w:val="both"/>
        <w:rPr>
          <w:rFonts w:cs="Arial"/>
          <w:bCs/>
          <w:szCs w:val="20"/>
          <w:u w:val="single"/>
          <w:lang w:val="sl-SI"/>
        </w:rPr>
      </w:pPr>
    </w:p>
    <w:p w14:paraId="26AB0FB2" w14:textId="0C94A2F8" w:rsidR="005350DF" w:rsidRPr="004B3B38" w:rsidRDefault="005350DF" w:rsidP="00E12EEB">
      <w:pPr>
        <w:spacing w:line="276" w:lineRule="auto"/>
        <w:jc w:val="both"/>
        <w:rPr>
          <w:rFonts w:cs="Arial"/>
          <w:bCs/>
          <w:szCs w:val="20"/>
          <w:lang w:val="sl-SI"/>
        </w:rPr>
      </w:pPr>
      <w:r w:rsidRPr="004B3B38">
        <w:rPr>
          <w:rFonts w:cs="Arial"/>
          <w:bCs/>
          <w:szCs w:val="20"/>
          <w:lang w:val="sl-SI"/>
        </w:rPr>
        <w:t xml:space="preserve">Ta ukrep ni nov; še naprej se izvaja kot pavšalno plačilo, kot je napovedano v Viziji EU za kmetijstvo in prehrano, z višjo zgornjo mejo 3.000 EUR na kmeta, pri čemer je mogoče razlikovati med skupinami kmetov ali geografskimi območji. Novost je, da je predlagani ukrep obvezen za državo članico ter da po novem nadomešča tudi plačilo OMD, ne le degresivne dohodkovne podpore oziroma vezane podpore. Ukrep je predvsem namenjen poenostavitvi, saj omogoča </w:t>
      </w:r>
      <w:r w:rsidR="005A1F53" w:rsidRPr="004B3B38">
        <w:rPr>
          <w:rFonts w:cs="Arial"/>
          <w:bCs/>
          <w:szCs w:val="20"/>
          <w:lang w:val="sl-SI"/>
        </w:rPr>
        <w:t>podpiranje</w:t>
      </w:r>
      <w:r w:rsidRPr="004B3B38">
        <w:rPr>
          <w:rFonts w:cs="Arial"/>
          <w:bCs/>
          <w:szCs w:val="20"/>
          <w:lang w:val="sl-SI"/>
        </w:rPr>
        <w:t xml:space="preserve"> majhni</w:t>
      </w:r>
      <w:r w:rsidR="005A1F53" w:rsidRPr="004B3B38">
        <w:rPr>
          <w:rFonts w:cs="Arial"/>
          <w:bCs/>
          <w:szCs w:val="20"/>
          <w:lang w:val="sl-SI"/>
        </w:rPr>
        <w:t>h</w:t>
      </w:r>
      <w:r w:rsidRPr="004B3B38">
        <w:rPr>
          <w:rFonts w:cs="Arial"/>
          <w:bCs/>
          <w:szCs w:val="20"/>
          <w:lang w:val="sl-SI"/>
        </w:rPr>
        <w:t xml:space="preserve"> kmetij brez dodatnih zahtev in z izvzetjem iz sistema odgovornega upravljanja kmetij</w:t>
      </w:r>
      <w:r w:rsidR="000C30CB" w:rsidRPr="004B3B38">
        <w:rPr>
          <w:rFonts w:cs="Arial"/>
          <w:bCs/>
          <w:szCs w:val="20"/>
          <w:lang w:val="sl-SI"/>
        </w:rPr>
        <w:t xml:space="preserve"> (razen socialne pogojenosti)</w:t>
      </w:r>
      <w:r w:rsidRPr="004B3B38">
        <w:rPr>
          <w:rFonts w:cs="Arial"/>
          <w:bCs/>
          <w:szCs w:val="20"/>
          <w:lang w:val="sl-SI"/>
        </w:rPr>
        <w:t>, kot določa predlog uredbe NRP.</w:t>
      </w:r>
    </w:p>
    <w:p w14:paraId="0B85E67A" w14:textId="77777777" w:rsidR="005350DF" w:rsidRPr="004B3B38" w:rsidRDefault="005350DF" w:rsidP="005350DF">
      <w:pPr>
        <w:spacing w:line="276" w:lineRule="auto"/>
        <w:jc w:val="both"/>
        <w:rPr>
          <w:rFonts w:cs="Arial"/>
          <w:bCs/>
          <w:szCs w:val="20"/>
          <w:lang w:val="sl-SI"/>
        </w:rPr>
      </w:pPr>
    </w:p>
    <w:p w14:paraId="50A37C87" w14:textId="411B0EAC" w:rsidR="007A3288"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Slovenija pozdravlja tovrsten ukrep, vendar predlaga, da </w:t>
      </w:r>
      <w:r w:rsidR="007A3288" w:rsidRPr="004B3B38">
        <w:rPr>
          <w:rFonts w:cs="Arial"/>
          <w:bCs/>
          <w:szCs w:val="20"/>
          <w:lang w:val="sl-SI"/>
        </w:rPr>
        <w:t>je</w:t>
      </w:r>
      <w:r w:rsidRPr="004B3B38">
        <w:rPr>
          <w:rFonts w:cs="Arial"/>
          <w:bCs/>
          <w:szCs w:val="20"/>
          <w:lang w:val="sl-SI"/>
        </w:rPr>
        <w:t xml:space="preserve"> prostovoljen za državo članico, s čimer bi se omogočilo upoštevanje posebnosti in potrebnih strukturnih sprememb v nacionalnem kmetijstvu.</w:t>
      </w:r>
    </w:p>
    <w:p w14:paraId="4F1A77C6" w14:textId="77777777" w:rsidR="005350DF" w:rsidRPr="004B3B38" w:rsidRDefault="005350DF" w:rsidP="005350DF">
      <w:pPr>
        <w:spacing w:line="276" w:lineRule="auto"/>
        <w:jc w:val="both"/>
        <w:rPr>
          <w:rFonts w:cs="Arial"/>
          <w:bCs/>
          <w:szCs w:val="20"/>
          <w:lang w:val="sl-SI"/>
        </w:rPr>
      </w:pPr>
    </w:p>
    <w:p w14:paraId="1D41FF7C" w14:textId="6D57C695" w:rsidR="00863796" w:rsidRPr="004B3B38" w:rsidRDefault="00863796" w:rsidP="003E4978">
      <w:pPr>
        <w:spacing w:line="276" w:lineRule="auto"/>
        <w:jc w:val="both"/>
        <w:rPr>
          <w:rFonts w:cs="Arial"/>
          <w:bCs/>
          <w:szCs w:val="20"/>
          <w:u w:val="single"/>
          <w:lang w:val="sl-SI"/>
        </w:rPr>
      </w:pPr>
      <w:r w:rsidRPr="004B3B38">
        <w:rPr>
          <w:rFonts w:cs="Arial"/>
          <w:bCs/>
          <w:szCs w:val="20"/>
          <w:u w:val="single"/>
          <w:lang w:val="sl-SI"/>
        </w:rPr>
        <w:t>Vezana dohodkovna podpora</w:t>
      </w:r>
    </w:p>
    <w:p w14:paraId="702EC33D" w14:textId="77777777" w:rsidR="00CA27D5" w:rsidRPr="004B3B38" w:rsidRDefault="00CA27D5" w:rsidP="00C833B5">
      <w:pPr>
        <w:spacing w:line="276" w:lineRule="auto"/>
        <w:jc w:val="both"/>
        <w:rPr>
          <w:rFonts w:cs="Arial"/>
          <w:bCs/>
          <w:szCs w:val="20"/>
          <w:lang w:val="sl-SI"/>
        </w:rPr>
      </w:pPr>
    </w:p>
    <w:p w14:paraId="3BD4E526" w14:textId="4196B305"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Proizvodno vezane podpore ostajajo namenjene določenim sektorjem ali oblikam kmetovanja, ki se soočajo s težavami in so pomembni iz </w:t>
      </w:r>
      <w:proofErr w:type="spellStart"/>
      <w:r w:rsidRPr="004B3B38">
        <w:rPr>
          <w:rFonts w:cs="Arial"/>
          <w:bCs/>
          <w:szCs w:val="20"/>
          <w:lang w:val="sl-SI"/>
        </w:rPr>
        <w:t>socio</w:t>
      </w:r>
      <w:proofErr w:type="spellEnd"/>
      <w:r w:rsidRPr="004B3B38">
        <w:rPr>
          <w:rFonts w:cs="Arial"/>
          <w:bCs/>
          <w:szCs w:val="20"/>
          <w:lang w:val="sl-SI"/>
        </w:rPr>
        <w:t xml:space="preserve">-ekonomskih ali </w:t>
      </w:r>
      <w:proofErr w:type="spellStart"/>
      <w:r w:rsidRPr="004B3B38">
        <w:rPr>
          <w:rFonts w:cs="Arial"/>
          <w:bCs/>
          <w:szCs w:val="20"/>
          <w:lang w:val="sl-SI"/>
        </w:rPr>
        <w:t>okoljskih</w:t>
      </w:r>
      <w:proofErr w:type="spellEnd"/>
      <w:r w:rsidRPr="004B3B38">
        <w:rPr>
          <w:rFonts w:cs="Arial"/>
          <w:bCs/>
          <w:szCs w:val="20"/>
          <w:lang w:val="sl-SI"/>
        </w:rPr>
        <w:t xml:space="preserve"> razlogov, z namenom pokritja dohodkovnih potreb. </w:t>
      </w:r>
      <w:r w:rsidR="00297B7F" w:rsidRPr="004B3B38">
        <w:rPr>
          <w:rFonts w:cs="Arial"/>
          <w:bCs/>
          <w:szCs w:val="20"/>
          <w:lang w:val="sl-SI"/>
        </w:rPr>
        <w:t>N</w:t>
      </w:r>
      <w:r w:rsidRPr="004B3B38">
        <w:rPr>
          <w:rFonts w:cs="Arial"/>
          <w:bCs/>
          <w:szCs w:val="20"/>
          <w:lang w:val="sl-SI"/>
        </w:rPr>
        <w:t xml:space="preserve">abor </w:t>
      </w:r>
      <w:r w:rsidR="00297B7F" w:rsidRPr="004B3B38">
        <w:rPr>
          <w:rFonts w:cs="Arial"/>
          <w:bCs/>
          <w:szCs w:val="20"/>
          <w:lang w:val="sl-SI"/>
        </w:rPr>
        <w:t xml:space="preserve">upravičenih </w:t>
      </w:r>
      <w:r w:rsidRPr="004B3B38">
        <w:rPr>
          <w:rFonts w:cs="Arial"/>
          <w:bCs/>
          <w:szCs w:val="20"/>
          <w:lang w:val="sl-SI"/>
        </w:rPr>
        <w:t>sektorjev ostaja omejen, pri čemer podpora na površino ni dovoljena za pridelavo tobaka in vinske trte, medtem ko je podpora za živali še naprej omejena na drobnico, goveje meso, mleko in sviloprejke, pri čemer so dodani čebelarski proizvodi</w:t>
      </w:r>
      <w:r w:rsidR="00297B7F" w:rsidRPr="004B3B38">
        <w:rPr>
          <w:rFonts w:cs="Arial"/>
          <w:bCs/>
          <w:szCs w:val="20"/>
          <w:lang w:val="sl-SI"/>
        </w:rPr>
        <w:t xml:space="preserve">. Po novem so </w:t>
      </w:r>
      <w:r w:rsidRPr="004B3B38">
        <w:rPr>
          <w:rFonts w:cs="Arial"/>
          <w:bCs/>
          <w:szCs w:val="20"/>
          <w:lang w:val="sl-SI"/>
        </w:rPr>
        <w:t>opredeljeni koeficienti za določitev števila glav velike živine (GVŽ) za posamezne kategorije upravičenih živali</w:t>
      </w:r>
      <w:r w:rsidR="00297B7F" w:rsidRPr="004B3B38">
        <w:rPr>
          <w:rFonts w:cs="Arial"/>
          <w:bCs/>
          <w:szCs w:val="20"/>
          <w:lang w:val="sl-SI"/>
        </w:rPr>
        <w:t xml:space="preserve"> in </w:t>
      </w:r>
      <w:r w:rsidRPr="004B3B38">
        <w:rPr>
          <w:rFonts w:cs="Arial"/>
          <w:bCs/>
          <w:szCs w:val="20"/>
          <w:lang w:val="sl-SI"/>
        </w:rPr>
        <w:t>za območja, občutljiva na nitrate, mora država članica predpisati za te podpore vsaj maksimalno obtežbo.</w:t>
      </w:r>
    </w:p>
    <w:p w14:paraId="7167A976" w14:textId="77777777" w:rsidR="005350DF" w:rsidRPr="004B3B38" w:rsidRDefault="005350DF" w:rsidP="005350DF">
      <w:pPr>
        <w:spacing w:line="276" w:lineRule="auto"/>
        <w:jc w:val="both"/>
        <w:rPr>
          <w:rFonts w:cs="Arial"/>
          <w:bCs/>
          <w:szCs w:val="20"/>
          <w:lang w:val="sl-SI"/>
        </w:rPr>
      </w:pPr>
    </w:p>
    <w:p w14:paraId="30DCF8B9" w14:textId="37BF4C9D" w:rsidR="005350DF" w:rsidRPr="004B3B38" w:rsidRDefault="00D60FBB" w:rsidP="005350DF">
      <w:pPr>
        <w:spacing w:line="276" w:lineRule="auto"/>
        <w:jc w:val="both"/>
        <w:rPr>
          <w:rFonts w:cs="Arial"/>
          <w:bCs/>
          <w:szCs w:val="20"/>
          <w:lang w:val="sl-SI"/>
        </w:rPr>
      </w:pPr>
      <w:r w:rsidRPr="004B3B38">
        <w:rPr>
          <w:rFonts w:cs="Arial"/>
          <w:bCs/>
          <w:szCs w:val="20"/>
          <w:lang w:val="sl-SI"/>
        </w:rPr>
        <w:t xml:space="preserve">Največji </w:t>
      </w:r>
      <w:r w:rsidR="005350DF" w:rsidRPr="004B3B38">
        <w:rPr>
          <w:rFonts w:cs="Arial"/>
          <w:bCs/>
          <w:szCs w:val="20"/>
          <w:lang w:val="sl-SI"/>
        </w:rPr>
        <w:t>obseg sredstev, ki jih lahko država članica nameni za vezano podporo</w:t>
      </w:r>
      <w:r w:rsidRPr="004B3B38">
        <w:rPr>
          <w:rFonts w:cs="Arial"/>
          <w:bCs/>
          <w:szCs w:val="20"/>
          <w:lang w:val="sl-SI"/>
        </w:rPr>
        <w:t>, ostaja tudi v prihodnje predpisan</w:t>
      </w:r>
      <w:r w:rsidR="005350DF" w:rsidRPr="004B3B38">
        <w:rPr>
          <w:rFonts w:cs="Arial"/>
          <w:bCs/>
          <w:szCs w:val="20"/>
          <w:lang w:val="sl-SI"/>
        </w:rPr>
        <w:t xml:space="preserve">. </w:t>
      </w:r>
      <w:r w:rsidRPr="004B3B38">
        <w:rPr>
          <w:rFonts w:cs="Arial"/>
          <w:bCs/>
          <w:szCs w:val="20"/>
          <w:lang w:val="sl-SI"/>
        </w:rPr>
        <w:t xml:space="preserve">Skladno s predlogom uredbe NRP </w:t>
      </w:r>
      <w:r w:rsidR="005350DF" w:rsidRPr="004B3B38">
        <w:rPr>
          <w:rFonts w:cs="Arial"/>
          <w:bCs/>
          <w:szCs w:val="20"/>
          <w:lang w:val="sl-SI"/>
        </w:rPr>
        <w:t xml:space="preserve">je ta obseg </w:t>
      </w:r>
      <w:r w:rsidRPr="004B3B38">
        <w:rPr>
          <w:rFonts w:cs="Arial"/>
          <w:bCs/>
          <w:szCs w:val="20"/>
          <w:lang w:val="sl-SI"/>
        </w:rPr>
        <w:t>o</w:t>
      </w:r>
      <w:r w:rsidR="005350DF" w:rsidRPr="004B3B38">
        <w:rPr>
          <w:rFonts w:cs="Arial"/>
          <w:bCs/>
          <w:szCs w:val="20"/>
          <w:lang w:val="sl-SI"/>
        </w:rPr>
        <w:t xml:space="preserve">mejen na </w:t>
      </w:r>
      <w:r w:rsidRPr="004B3B38">
        <w:rPr>
          <w:rFonts w:cs="Arial"/>
          <w:bCs/>
          <w:szCs w:val="20"/>
          <w:lang w:val="sl-SI"/>
        </w:rPr>
        <w:t xml:space="preserve">največ </w:t>
      </w:r>
      <w:r w:rsidR="005350DF" w:rsidRPr="004B3B38">
        <w:rPr>
          <w:rFonts w:cs="Arial"/>
          <w:bCs/>
          <w:szCs w:val="20"/>
          <w:lang w:val="sl-SI"/>
        </w:rPr>
        <w:t>20 % seštevka sredstev za degresivno plačilo, plačilo za male kmetije in kmetijsko-</w:t>
      </w:r>
      <w:proofErr w:type="spellStart"/>
      <w:r w:rsidR="005350DF" w:rsidRPr="004B3B38">
        <w:rPr>
          <w:rFonts w:cs="Arial"/>
          <w:bCs/>
          <w:szCs w:val="20"/>
          <w:lang w:val="sl-SI"/>
        </w:rPr>
        <w:t>okoljsko</w:t>
      </w:r>
      <w:proofErr w:type="spellEnd"/>
      <w:r w:rsidR="005350DF" w:rsidRPr="004B3B38">
        <w:rPr>
          <w:rFonts w:cs="Arial"/>
          <w:bCs/>
          <w:szCs w:val="20"/>
          <w:lang w:val="sl-SI"/>
        </w:rPr>
        <w:t>-podnebne ukrepe, oziroma 25 %, če je 5 % namenjenih beljakovinskim rastlinam, za mešane kmetije ali kmetijska območja s tveganjem opuščanja na vzhodnih mejah (namesto dosedanjih 15 %).</w:t>
      </w:r>
    </w:p>
    <w:p w14:paraId="283E9791" w14:textId="77777777" w:rsidR="005350DF" w:rsidRPr="004B3B38" w:rsidRDefault="005350DF" w:rsidP="005350DF">
      <w:pPr>
        <w:spacing w:line="276" w:lineRule="auto"/>
        <w:jc w:val="both"/>
        <w:rPr>
          <w:rFonts w:cs="Arial"/>
          <w:bCs/>
          <w:szCs w:val="20"/>
          <w:lang w:val="sl-SI"/>
        </w:rPr>
      </w:pPr>
    </w:p>
    <w:p w14:paraId="7E750B8D" w14:textId="25595026" w:rsidR="005350DF" w:rsidRPr="004B3B38" w:rsidRDefault="005350DF" w:rsidP="005350DF">
      <w:pPr>
        <w:spacing w:line="276" w:lineRule="auto"/>
        <w:jc w:val="both"/>
        <w:rPr>
          <w:rFonts w:cs="Arial"/>
          <w:bCs/>
          <w:szCs w:val="20"/>
          <w:lang w:val="sl-SI"/>
        </w:rPr>
      </w:pPr>
      <w:r w:rsidRPr="004B3B38">
        <w:rPr>
          <w:rFonts w:cs="Arial"/>
          <w:bCs/>
          <w:szCs w:val="20"/>
          <w:lang w:val="sl-SI"/>
        </w:rPr>
        <w:lastRenderedPageBreak/>
        <w:t>Opredelitev: Slovenija podpira nadaljnje izvajanje vezane podpore in novosti, ki so vključene. Slovenija šteje tovrstna plačila za pomembna pri zagotavljanju stabilnega dohodka kmetom ter ohranjanju ključnih sektorjev in trajnostnih oblik kmetovanja.</w:t>
      </w:r>
    </w:p>
    <w:p w14:paraId="71E3A56F" w14:textId="77777777" w:rsidR="00C62575" w:rsidRPr="004B3B38" w:rsidRDefault="00C62575" w:rsidP="003E4978">
      <w:pPr>
        <w:spacing w:line="276" w:lineRule="auto"/>
        <w:jc w:val="both"/>
        <w:rPr>
          <w:rFonts w:cs="Arial"/>
          <w:bCs/>
          <w:szCs w:val="20"/>
          <w:lang w:val="sl-SI"/>
        </w:rPr>
      </w:pPr>
    </w:p>
    <w:p w14:paraId="05D7B3E7" w14:textId="77777777" w:rsidR="00863796" w:rsidRPr="004B3B38" w:rsidRDefault="00863796" w:rsidP="00863796">
      <w:pPr>
        <w:spacing w:line="276" w:lineRule="auto"/>
        <w:jc w:val="both"/>
        <w:rPr>
          <w:rFonts w:cs="Arial"/>
          <w:bCs/>
          <w:szCs w:val="20"/>
          <w:u w:val="single"/>
          <w:lang w:val="sl-SI"/>
        </w:rPr>
      </w:pPr>
      <w:r w:rsidRPr="004B3B38">
        <w:rPr>
          <w:rFonts w:cs="Arial"/>
          <w:bCs/>
          <w:szCs w:val="20"/>
          <w:u w:val="single"/>
          <w:lang w:val="sl-SI"/>
        </w:rPr>
        <w:t>Plačilo za naravne ali druge omejitve, značilne za posamezno območje</w:t>
      </w:r>
    </w:p>
    <w:p w14:paraId="7DA4B5E6" w14:textId="77777777" w:rsidR="00CA27D5" w:rsidRPr="004B3B38" w:rsidRDefault="00CA27D5" w:rsidP="00863796">
      <w:pPr>
        <w:spacing w:line="276" w:lineRule="auto"/>
        <w:jc w:val="both"/>
        <w:rPr>
          <w:rFonts w:cs="Arial"/>
          <w:bCs/>
          <w:szCs w:val="20"/>
          <w:lang w:val="sl-SI"/>
        </w:rPr>
      </w:pPr>
    </w:p>
    <w:p w14:paraId="718CFEF3" w14:textId="12241C92"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Plačilo OMD </w:t>
      </w:r>
      <w:r w:rsidR="00795792" w:rsidRPr="004B3B38">
        <w:rPr>
          <w:rFonts w:cs="Arial"/>
          <w:bCs/>
          <w:szCs w:val="20"/>
          <w:lang w:val="sl-SI"/>
        </w:rPr>
        <w:t xml:space="preserve">ni </w:t>
      </w:r>
      <w:r w:rsidR="00C81EAA" w:rsidRPr="004B3B38">
        <w:rPr>
          <w:rFonts w:cs="Arial"/>
          <w:bCs/>
          <w:szCs w:val="20"/>
          <w:lang w:val="sl-SI"/>
        </w:rPr>
        <w:t xml:space="preserve">več </w:t>
      </w:r>
      <w:r w:rsidRPr="004B3B38">
        <w:rPr>
          <w:rFonts w:cs="Arial"/>
          <w:bCs/>
          <w:szCs w:val="20"/>
          <w:lang w:val="sl-SI"/>
        </w:rPr>
        <w:t>prostovoljno za države članice</w:t>
      </w:r>
      <w:r w:rsidR="00C81EAA" w:rsidRPr="004B3B38">
        <w:rPr>
          <w:rFonts w:cs="Arial"/>
          <w:bCs/>
          <w:szCs w:val="20"/>
          <w:lang w:val="sl-SI"/>
        </w:rPr>
        <w:t xml:space="preserve">, ostaja pa še naprej plačilo </w:t>
      </w:r>
      <w:r w:rsidRPr="004B3B38">
        <w:rPr>
          <w:rFonts w:cs="Arial"/>
          <w:bCs/>
          <w:szCs w:val="20"/>
          <w:lang w:val="sl-SI"/>
        </w:rPr>
        <w:t>za izgubljen dohodek in/ali višje stroške. Novost je možnost opredelitve novih OMD območij z omejitvami, ki jih določijo države članice, pri čemer širitev ne sme presegati 2 % kmetijskih zemljišč v uporabi v posamezni državi članici.</w:t>
      </w:r>
    </w:p>
    <w:p w14:paraId="491DAAB6" w14:textId="77777777" w:rsidR="005350DF" w:rsidRPr="004B3B38" w:rsidRDefault="005350DF" w:rsidP="005350DF">
      <w:pPr>
        <w:spacing w:line="276" w:lineRule="auto"/>
        <w:jc w:val="both"/>
        <w:rPr>
          <w:rFonts w:cs="Arial"/>
          <w:bCs/>
          <w:szCs w:val="20"/>
          <w:lang w:val="sl-SI"/>
        </w:rPr>
      </w:pPr>
    </w:p>
    <w:p w14:paraId="09B1C3A9" w14:textId="0C6CB559" w:rsidR="007B1B45" w:rsidRPr="004B3B38" w:rsidRDefault="005350DF" w:rsidP="005350DF">
      <w:pPr>
        <w:spacing w:line="276" w:lineRule="auto"/>
        <w:jc w:val="both"/>
        <w:rPr>
          <w:rFonts w:cs="Arial"/>
          <w:bCs/>
          <w:szCs w:val="20"/>
          <w:lang w:val="sl-SI"/>
        </w:rPr>
      </w:pPr>
      <w:r w:rsidRPr="004B3B38">
        <w:rPr>
          <w:rFonts w:cs="Arial"/>
          <w:bCs/>
          <w:szCs w:val="20"/>
          <w:lang w:val="sl-SI"/>
        </w:rPr>
        <w:t>Opredelitev: Slovenija pozdravlja ohranitev in vlogo tega ukrepa ter možnost širitv</w:t>
      </w:r>
      <w:r w:rsidR="000F28A2" w:rsidRPr="004B3B38">
        <w:rPr>
          <w:rFonts w:cs="Arial"/>
          <w:bCs/>
          <w:szCs w:val="20"/>
          <w:lang w:val="sl-SI"/>
        </w:rPr>
        <w:t>e</w:t>
      </w:r>
      <w:r w:rsidRPr="004B3B38">
        <w:rPr>
          <w:rFonts w:cs="Arial"/>
          <w:bCs/>
          <w:szCs w:val="20"/>
          <w:lang w:val="sl-SI"/>
        </w:rPr>
        <w:t xml:space="preserve"> </w:t>
      </w:r>
      <w:r w:rsidR="000F28A2" w:rsidRPr="004B3B38">
        <w:rPr>
          <w:rFonts w:cs="Arial"/>
          <w:bCs/>
          <w:szCs w:val="20"/>
          <w:lang w:val="sl-SI"/>
        </w:rPr>
        <w:t xml:space="preserve">vrste </w:t>
      </w:r>
      <w:r w:rsidRPr="004B3B38">
        <w:rPr>
          <w:rFonts w:cs="Arial"/>
          <w:bCs/>
          <w:szCs w:val="20"/>
          <w:lang w:val="sl-SI"/>
        </w:rPr>
        <w:t>območj</w:t>
      </w:r>
      <w:r w:rsidR="000F28A2" w:rsidRPr="004B3B38">
        <w:rPr>
          <w:rFonts w:cs="Arial"/>
          <w:bCs/>
          <w:szCs w:val="20"/>
          <w:lang w:val="sl-SI"/>
        </w:rPr>
        <w:t>a</w:t>
      </w:r>
      <w:r w:rsidR="00CF0DDB" w:rsidRPr="004B3B38">
        <w:rPr>
          <w:rFonts w:cs="Arial"/>
          <w:bCs/>
          <w:szCs w:val="20"/>
          <w:lang w:val="sl-SI"/>
        </w:rPr>
        <w:t xml:space="preserve"> OMD</w:t>
      </w:r>
      <w:r w:rsidRPr="004B3B38">
        <w:rPr>
          <w:rFonts w:cs="Arial"/>
          <w:bCs/>
          <w:szCs w:val="20"/>
          <w:lang w:val="sl-SI"/>
        </w:rPr>
        <w:t xml:space="preserve">, </w:t>
      </w:r>
      <w:r w:rsidR="000F28A2" w:rsidRPr="004B3B38">
        <w:rPr>
          <w:rFonts w:cs="Arial"/>
          <w:bCs/>
          <w:szCs w:val="20"/>
          <w:lang w:val="sl-SI"/>
        </w:rPr>
        <w:t>na katerega vplivajo druge posebne omejitve</w:t>
      </w:r>
      <w:r w:rsidRPr="004B3B38">
        <w:rPr>
          <w:rFonts w:cs="Arial"/>
          <w:bCs/>
          <w:szCs w:val="20"/>
          <w:lang w:val="sl-SI"/>
        </w:rPr>
        <w:t>. Še posebej podpira tovrstna plačila, saj ima zaradi svoje geografske in naravne strukture veliko območij z omejitvami, kjer je takšna podpora ključna za ohranjanje kmetijstva in vitalnosti ruralnih območij.</w:t>
      </w:r>
    </w:p>
    <w:p w14:paraId="20AAB91C" w14:textId="77777777" w:rsidR="005350DF" w:rsidRPr="004B3B38" w:rsidRDefault="005350DF" w:rsidP="005350DF">
      <w:pPr>
        <w:spacing w:line="276" w:lineRule="auto"/>
        <w:jc w:val="both"/>
        <w:rPr>
          <w:rFonts w:cs="Arial"/>
          <w:bCs/>
          <w:szCs w:val="20"/>
          <w:lang w:val="sl-SI"/>
        </w:rPr>
      </w:pPr>
    </w:p>
    <w:p w14:paraId="3950A491" w14:textId="62478E54" w:rsidR="00863796" w:rsidRPr="004B3B38" w:rsidRDefault="00863796" w:rsidP="003E4978">
      <w:pPr>
        <w:spacing w:line="276" w:lineRule="auto"/>
        <w:jc w:val="both"/>
        <w:rPr>
          <w:rFonts w:cs="Arial"/>
          <w:bCs/>
          <w:szCs w:val="20"/>
          <w:u w:val="single"/>
          <w:lang w:val="sl-SI"/>
        </w:rPr>
      </w:pPr>
      <w:r w:rsidRPr="004B3B38">
        <w:rPr>
          <w:rFonts w:cs="Arial"/>
          <w:bCs/>
          <w:szCs w:val="20"/>
          <w:u w:val="single"/>
          <w:lang w:val="sl-SI"/>
        </w:rPr>
        <w:t xml:space="preserve">Podpora za naložbe za kmete in </w:t>
      </w:r>
      <w:r w:rsidR="0034608F" w:rsidRPr="004B3B38">
        <w:rPr>
          <w:rFonts w:cs="Arial"/>
          <w:bCs/>
          <w:szCs w:val="20"/>
          <w:u w:val="single"/>
          <w:lang w:val="sl-SI"/>
        </w:rPr>
        <w:t>imetniki</w:t>
      </w:r>
      <w:r w:rsidRPr="004B3B38">
        <w:rPr>
          <w:rFonts w:cs="Arial"/>
          <w:bCs/>
          <w:szCs w:val="20"/>
          <w:u w:val="single"/>
          <w:lang w:val="sl-SI"/>
        </w:rPr>
        <w:t xml:space="preserve"> gozdov</w:t>
      </w:r>
      <w:r w:rsidR="00FA1F41" w:rsidRPr="004B3B38">
        <w:rPr>
          <w:rFonts w:cs="Arial"/>
          <w:bCs/>
          <w:szCs w:val="20"/>
          <w:u w:val="single"/>
          <w:lang w:val="sl-SI"/>
        </w:rPr>
        <w:t>, podpora za vzpostavitev gospodarstev mladih kmetov, zagon podeželskih podjetij in razvoj malih kmetij</w:t>
      </w:r>
    </w:p>
    <w:p w14:paraId="6270D7E6" w14:textId="77777777" w:rsidR="00D77CA2" w:rsidRPr="004B3B38" w:rsidRDefault="00D77CA2" w:rsidP="003E4978">
      <w:pPr>
        <w:spacing w:line="276" w:lineRule="auto"/>
        <w:jc w:val="both"/>
        <w:rPr>
          <w:rFonts w:cs="Arial"/>
          <w:bCs/>
          <w:szCs w:val="20"/>
          <w:lang w:val="sl-SI"/>
        </w:rPr>
      </w:pPr>
    </w:p>
    <w:p w14:paraId="1A3E63A0" w14:textId="34BCF3B2"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Predlog uredbe SKP omogoča podporo naložbam, ki jih </w:t>
      </w:r>
      <w:r w:rsidR="00C81EAA" w:rsidRPr="004B3B38">
        <w:rPr>
          <w:rFonts w:cs="Arial"/>
          <w:bCs/>
          <w:szCs w:val="20"/>
          <w:lang w:val="sl-SI"/>
        </w:rPr>
        <w:t xml:space="preserve">kot upravičenci </w:t>
      </w:r>
      <w:r w:rsidRPr="004B3B38">
        <w:rPr>
          <w:rFonts w:cs="Arial"/>
          <w:bCs/>
          <w:szCs w:val="20"/>
          <w:lang w:val="sl-SI"/>
        </w:rPr>
        <w:t>izvajajo kmetje in imetniki gozdov. Take naložbe se lahko nanašajo med drugim na:</w:t>
      </w:r>
    </w:p>
    <w:p w14:paraId="7348364F" w14:textId="4FDDB3BA" w:rsidR="005350DF" w:rsidRPr="004B3B38" w:rsidRDefault="005350DF" w:rsidP="005350DF">
      <w:pPr>
        <w:spacing w:line="276" w:lineRule="auto"/>
        <w:jc w:val="both"/>
        <w:rPr>
          <w:rFonts w:cs="Arial"/>
          <w:bCs/>
          <w:szCs w:val="20"/>
          <w:lang w:val="sl-SI"/>
        </w:rPr>
      </w:pPr>
      <w:r w:rsidRPr="004B3B38">
        <w:rPr>
          <w:rFonts w:cs="Arial"/>
          <w:bCs/>
          <w:szCs w:val="20"/>
          <w:lang w:val="sl-SI"/>
        </w:rPr>
        <w:t>– infrastrukturo, povezano z razvojem, modernizacijo ali prilagajanjem kmetijstva in gozdarstva na podnebne spremembe;</w:t>
      </w:r>
    </w:p>
    <w:p w14:paraId="3E984A1D" w14:textId="0744CC07" w:rsidR="005350DF" w:rsidRPr="004B3B38" w:rsidRDefault="005350DF" w:rsidP="005350DF">
      <w:pPr>
        <w:spacing w:line="276" w:lineRule="auto"/>
        <w:jc w:val="both"/>
        <w:rPr>
          <w:rFonts w:cs="Arial"/>
          <w:bCs/>
          <w:szCs w:val="20"/>
          <w:lang w:val="sl-SI"/>
        </w:rPr>
      </w:pPr>
      <w:r w:rsidRPr="004B3B38">
        <w:rPr>
          <w:rFonts w:cs="Arial"/>
          <w:bCs/>
          <w:szCs w:val="20"/>
          <w:lang w:val="sl-SI"/>
        </w:rPr>
        <w:t>– kmetijsko-gozdarske prakse, energijo in upravljanje vode;</w:t>
      </w:r>
    </w:p>
    <w:p w14:paraId="479B9CD1" w14:textId="7553D9C5" w:rsidR="005350DF" w:rsidRPr="004B3B38" w:rsidRDefault="005350DF" w:rsidP="005350DF">
      <w:pPr>
        <w:spacing w:line="276" w:lineRule="auto"/>
        <w:jc w:val="both"/>
        <w:rPr>
          <w:rFonts w:cs="Arial"/>
          <w:bCs/>
          <w:szCs w:val="20"/>
          <w:lang w:val="sl-SI"/>
        </w:rPr>
      </w:pPr>
      <w:r w:rsidRPr="004B3B38">
        <w:rPr>
          <w:rFonts w:cs="Arial"/>
          <w:bCs/>
          <w:szCs w:val="20"/>
          <w:lang w:val="sl-SI"/>
        </w:rPr>
        <w:t>– namestitev digitalnih tehnologij v kmetijstvu, precizno kmetovanje;</w:t>
      </w:r>
    </w:p>
    <w:p w14:paraId="05452AA9" w14:textId="5B97B4B5"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 diverzifikacijo virov dohodka v drugih dejavnostih, kot sta kmečki turizem in </w:t>
      </w:r>
      <w:proofErr w:type="spellStart"/>
      <w:r w:rsidRPr="004B3B38">
        <w:rPr>
          <w:rFonts w:cs="Arial"/>
          <w:bCs/>
          <w:szCs w:val="20"/>
          <w:lang w:val="sl-SI"/>
        </w:rPr>
        <w:t>biogospodarstvo</w:t>
      </w:r>
      <w:proofErr w:type="spellEnd"/>
      <w:r w:rsidRPr="004B3B38">
        <w:rPr>
          <w:rFonts w:cs="Arial"/>
          <w:bCs/>
          <w:szCs w:val="20"/>
          <w:lang w:val="sl-SI"/>
        </w:rPr>
        <w:t>.</w:t>
      </w:r>
    </w:p>
    <w:p w14:paraId="45D2EE93" w14:textId="77777777" w:rsidR="005350DF" w:rsidRPr="004B3B38" w:rsidRDefault="005350DF" w:rsidP="005350DF">
      <w:pPr>
        <w:spacing w:line="276" w:lineRule="auto"/>
        <w:jc w:val="both"/>
        <w:rPr>
          <w:rFonts w:cs="Arial"/>
          <w:bCs/>
          <w:szCs w:val="20"/>
          <w:lang w:val="sl-SI"/>
        </w:rPr>
      </w:pPr>
    </w:p>
    <w:p w14:paraId="23A3022C" w14:textId="5E60811F" w:rsidR="005350DF" w:rsidRPr="004B3B38" w:rsidRDefault="005350DF" w:rsidP="005350DF">
      <w:pPr>
        <w:spacing w:line="276" w:lineRule="auto"/>
        <w:jc w:val="both"/>
        <w:rPr>
          <w:rFonts w:cs="Arial"/>
          <w:bCs/>
          <w:szCs w:val="20"/>
          <w:lang w:val="sl-SI"/>
        </w:rPr>
      </w:pPr>
      <w:r w:rsidRPr="004B3B38">
        <w:rPr>
          <w:rFonts w:cs="Arial"/>
          <w:bCs/>
          <w:szCs w:val="20"/>
          <w:lang w:val="sl-SI"/>
        </w:rPr>
        <w:t>Podpora je možna tudi za naložbe v obnovitev kmetijskega ali gozdarskega potenciala po naravnih nesrečah, slabih vremenskih razmerah ali katastrofah, vključno s požari, neurji, poplavami, škodljivimi organizmi in boleznimi.</w:t>
      </w:r>
    </w:p>
    <w:p w14:paraId="3F9717E5" w14:textId="77777777" w:rsidR="005350DF" w:rsidRPr="004B3B38" w:rsidRDefault="005350DF" w:rsidP="005350DF">
      <w:pPr>
        <w:spacing w:line="276" w:lineRule="auto"/>
        <w:jc w:val="both"/>
        <w:rPr>
          <w:rFonts w:cs="Arial"/>
          <w:bCs/>
          <w:szCs w:val="20"/>
          <w:lang w:val="sl-SI"/>
        </w:rPr>
      </w:pPr>
    </w:p>
    <w:p w14:paraId="28722D58" w14:textId="77777777" w:rsidR="00C81EAA" w:rsidRPr="004B3B38" w:rsidRDefault="005350DF" w:rsidP="005350DF">
      <w:pPr>
        <w:spacing w:line="276" w:lineRule="auto"/>
        <w:jc w:val="both"/>
        <w:rPr>
          <w:rFonts w:cs="Arial"/>
          <w:bCs/>
          <w:szCs w:val="20"/>
          <w:lang w:val="sl-SI"/>
        </w:rPr>
      </w:pPr>
      <w:r w:rsidRPr="004B3B38">
        <w:rPr>
          <w:rFonts w:cs="Arial"/>
          <w:bCs/>
          <w:szCs w:val="20"/>
          <w:lang w:val="sl-SI"/>
        </w:rPr>
        <w:t xml:space="preserve">Predlog uredbe določa seznam neupravičenih naložb in vrste odhodkov, ki ga države članice lahko še razširijo. </w:t>
      </w:r>
    </w:p>
    <w:p w14:paraId="73F7005D" w14:textId="77777777" w:rsidR="00C81EAA" w:rsidRPr="004B3B38" w:rsidRDefault="00C81EAA" w:rsidP="005350DF">
      <w:pPr>
        <w:spacing w:line="276" w:lineRule="auto"/>
        <w:jc w:val="both"/>
        <w:rPr>
          <w:rFonts w:cs="Arial"/>
          <w:bCs/>
          <w:szCs w:val="20"/>
          <w:lang w:val="sl-SI"/>
        </w:rPr>
      </w:pPr>
    </w:p>
    <w:p w14:paraId="227C71BA" w14:textId="23E8C4DB" w:rsidR="005350DF" w:rsidRPr="004B3B38" w:rsidRDefault="005350DF" w:rsidP="005350DF">
      <w:pPr>
        <w:spacing w:line="276" w:lineRule="auto"/>
        <w:jc w:val="both"/>
        <w:rPr>
          <w:rFonts w:cs="Arial"/>
          <w:bCs/>
          <w:szCs w:val="20"/>
          <w:lang w:val="sl-SI"/>
        </w:rPr>
      </w:pPr>
      <w:r w:rsidRPr="004B3B38">
        <w:rPr>
          <w:rFonts w:cs="Arial"/>
          <w:bCs/>
          <w:szCs w:val="20"/>
          <w:lang w:val="sl-SI"/>
        </w:rPr>
        <w:t>Kadar pravo Unije kmetom nalaga nove zahteve, se lahko za največ 36 mesecev od njihove uvedbe odobri podpora za naložbe</w:t>
      </w:r>
      <w:r w:rsidR="00C81EAA" w:rsidRPr="004B3B38">
        <w:rPr>
          <w:rFonts w:cs="Arial"/>
          <w:bCs/>
          <w:szCs w:val="20"/>
          <w:lang w:val="sl-SI"/>
        </w:rPr>
        <w:t xml:space="preserve"> za izpolnjevanje teh novih zahtev</w:t>
      </w:r>
      <w:r w:rsidRPr="004B3B38">
        <w:rPr>
          <w:rFonts w:cs="Arial"/>
          <w:bCs/>
          <w:szCs w:val="20"/>
          <w:lang w:val="sl-SI"/>
        </w:rPr>
        <w:t>.</w:t>
      </w:r>
    </w:p>
    <w:p w14:paraId="1B23B5A1" w14:textId="77777777" w:rsidR="005350DF" w:rsidRPr="004B3B38" w:rsidRDefault="005350DF" w:rsidP="005350DF">
      <w:pPr>
        <w:spacing w:line="276" w:lineRule="auto"/>
        <w:jc w:val="both"/>
        <w:rPr>
          <w:rFonts w:cs="Arial"/>
          <w:bCs/>
          <w:szCs w:val="20"/>
          <w:lang w:val="sl-SI"/>
        </w:rPr>
      </w:pPr>
    </w:p>
    <w:p w14:paraId="43FB98C9" w14:textId="33D4D9B4"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Mladim kmetom, ki prvič vzpostavijo kmetijsko gospodarstvo, se lahko </w:t>
      </w:r>
      <w:r w:rsidR="00C81EAA" w:rsidRPr="004B3B38">
        <w:rPr>
          <w:rFonts w:cs="Arial"/>
          <w:bCs/>
          <w:szCs w:val="20"/>
          <w:lang w:val="sl-SI"/>
        </w:rPr>
        <w:t xml:space="preserve">naložbena </w:t>
      </w:r>
      <w:r w:rsidRPr="004B3B38">
        <w:rPr>
          <w:rFonts w:cs="Arial"/>
          <w:bCs/>
          <w:szCs w:val="20"/>
          <w:lang w:val="sl-SI"/>
        </w:rPr>
        <w:t xml:space="preserve"> podpora </w:t>
      </w:r>
      <w:r w:rsidR="00C81EAA" w:rsidRPr="004B3B38">
        <w:rPr>
          <w:rFonts w:cs="Arial"/>
          <w:bCs/>
          <w:szCs w:val="20"/>
          <w:lang w:val="sl-SI"/>
        </w:rPr>
        <w:t xml:space="preserve">za izpolnjevanje zahtev prava Unije </w:t>
      </w:r>
      <w:r w:rsidRPr="004B3B38">
        <w:rPr>
          <w:rFonts w:cs="Arial"/>
          <w:bCs/>
          <w:szCs w:val="20"/>
          <w:lang w:val="sl-SI"/>
        </w:rPr>
        <w:t>dodeli za največ 36 mesecev ali do zaključka ukrepov iz poslovnega načrta, prav tako za kritje vseh ali dela dodatnih stroškov.</w:t>
      </w:r>
    </w:p>
    <w:p w14:paraId="262132CF" w14:textId="77777777" w:rsidR="005350DF" w:rsidRPr="004B3B38" w:rsidRDefault="005350DF" w:rsidP="005350DF">
      <w:pPr>
        <w:spacing w:line="276" w:lineRule="auto"/>
        <w:jc w:val="both"/>
        <w:rPr>
          <w:rFonts w:cs="Arial"/>
          <w:bCs/>
          <w:szCs w:val="20"/>
          <w:lang w:val="sl-SI"/>
        </w:rPr>
      </w:pPr>
    </w:p>
    <w:p w14:paraId="1A6E1D6D" w14:textId="0BAFA4B2" w:rsidR="00863796" w:rsidRPr="004B3B38" w:rsidRDefault="005350DF" w:rsidP="005426D8">
      <w:pPr>
        <w:spacing w:line="276" w:lineRule="auto"/>
        <w:jc w:val="both"/>
        <w:rPr>
          <w:rFonts w:cs="Arial"/>
          <w:bCs/>
          <w:szCs w:val="20"/>
          <w:lang w:val="sl-SI"/>
        </w:rPr>
      </w:pPr>
      <w:r w:rsidRPr="004B3B38">
        <w:rPr>
          <w:rFonts w:cs="Arial"/>
          <w:bCs/>
          <w:szCs w:val="20"/>
          <w:lang w:val="sl-SI"/>
        </w:rPr>
        <w:t xml:space="preserve">Opredelitev: Slovenija podpira tovrstno podporo naložbam, ki jih izvajajo kmetje in imetniki gozdov. </w:t>
      </w:r>
      <w:r w:rsidR="005426D8" w:rsidRPr="004B3B38">
        <w:rPr>
          <w:rFonts w:cs="Arial"/>
          <w:bCs/>
          <w:szCs w:val="20"/>
          <w:lang w:val="sl-SI"/>
        </w:rPr>
        <w:t>Naložbe predstavljajo pomembno orodje za izboljšanje konkurenčnosti, povečanje odpornosti in trajnosti kmetijske pridelave in predelave. Vendar ne smemo zanemariti pomena naložb v živilske verige, če želimo spodbuditi razvoj celotnega kmetijsko-prehranskega sistema, in  naložb v infrastrukturo, kot npr. namakalne sisteme</w:t>
      </w:r>
      <w:r w:rsidRPr="004B3B38">
        <w:rPr>
          <w:rFonts w:cs="Arial"/>
          <w:bCs/>
          <w:szCs w:val="20"/>
          <w:lang w:val="sl-SI"/>
        </w:rPr>
        <w:t>.</w:t>
      </w:r>
    </w:p>
    <w:p w14:paraId="70AE588A" w14:textId="77777777" w:rsidR="00863796" w:rsidRPr="004B3B38" w:rsidRDefault="00863796" w:rsidP="003E4978">
      <w:pPr>
        <w:spacing w:line="276" w:lineRule="auto"/>
        <w:jc w:val="both"/>
        <w:rPr>
          <w:rFonts w:cs="Arial"/>
          <w:bCs/>
          <w:szCs w:val="20"/>
          <w:lang w:val="sl-SI"/>
        </w:rPr>
      </w:pPr>
    </w:p>
    <w:p w14:paraId="6F01A7FA" w14:textId="77777777" w:rsidR="00863796" w:rsidRPr="004B3B38" w:rsidRDefault="00863796" w:rsidP="00863796">
      <w:pPr>
        <w:spacing w:line="276" w:lineRule="auto"/>
        <w:jc w:val="both"/>
        <w:rPr>
          <w:rFonts w:cs="Arial"/>
          <w:bCs/>
          <w:szCs w:val="20"/>
          <w:u w:val="single"/>
          <w:lang w:val="sl-SI"/>
        </w:rPr>
      </w:pPr>
      <w:r w:rsidRPr="004B3B38">
        <w:rPr>
          <w:rFonts w:cs="Arial"/>
          <w:bCs/>
          <w:szCs w:val="20"/>
          <w:u w:val="single"/>
          <w:lang w:val="sl-SI"/>
        </w:rPr>
        <w:t>Podpora za sodelovanje v instrumentih za obvladovanje tveganj</w:t>
      </w:r>
    </w:p>
    <w:p w14:paraId="585940DD" w14:textId="77777777" w:rsidR="00D77CA2" w:rsidRPr="004B3B38" w:rsidRDefault="00D77CA2" w:rsidP="00863796">
      <w:pPr>
        <w:spacing w:line="276" w:lineRule="auto"/>
        <w:jc w:val="both"/>
        <w:rPr>
          <w:rFonts w:cs="Arial"/>
          <w:bCs/>
          <w:szCs w:val="20"/>
          <w:lang w:val="sl-SI"/>
        </w:rPr>
      </w:pPr>
    </w:p>
    <w:p w14:paraId="725D71ED" w14:textId="18F50E68" w:rsidR="00B424E4" w:rsidRPr="004B3B38" w:rsidRDefault="005350DF" w:rsidP="00B424E4">
      <w:pPr>
        <w:spacing w:line="276" w:lineRule="auto"/>
        <w:jc w:val="both"/>
        <w:rPr>
          <w:rFonts w:cs="Arial"/>
          <w:bCs/>
          <w:szCs w:val="20"/>
          <w:lang w:val="sl-SI"/>
        </w:rPr>
      </w:pPr>
      <w:r w:rsidRPr="004B3B38">
        <w:rPr>
          <w:rFonts w:cs="Arial"/>
          <w:bCs/>
          <w:szCs w:val="20"/>
          <w:lang w:val="sl-SI"/>
        </w:rPr>
        <w:t xml:space="preserve">Tudi v prihodnje bo obvezno izvajanje podpor za sodelovanje v instrumentih za obvladovanje tveganj, če se </w:t>
      </w:r>
      <w:r w:rsidR="006403A2" w:rsidRPr="004B3B38">
        <w:rPr>
          <w:rFonts w:cs="Arial"/>
          <w:bCs/>
          <w:szCs w:val="20"/>
          <w:lang w:val="sl-SI"/>
        </w:rPr>
        <w:t>le-</w:t>
      </w:r>
      <w:r w:rsidRPr="004B3B38">
        <w:rPr>
          <w:rFonts w:cs="Arial"/>
          <w:bCs/>
          <w:szCs w:val="20"/>
          <w:lang w:val="sl-SI"/>
        </w:rPr>
        <w:t xml:space="preserve">ti ne izvajajo v okviru državnih pomoči. Potreba po večji odpornosti kmetijskih gospodarstev in obvladovanju tveganj namreč ostaja, zato je ta podpora namenjena povečanju sposobnosti kmetov, da vzdržijo vse večja tveganja in krizne situacije, kot so tiste, povezane s podnebnimi spremembami ali nestabilnostjo trga. Podpora omogoča sodelovanje v instrumentih </w:t>
      </w:r>
      <w:r w:rsidRPr="004B3B38">
        <w:rPr>
          <w:rFonts w:cs="Arial"/>
          <w:bCs/>
          <w:szCs w:val="20"/>
          <w:lang w:val="sl-SI"/>
        </w:rPr>
        <w:lastRenderedPageBreak/>
        <w:t xml:space="preserve">za obvladovanje tveganj, vključno s podporo za zavarovalne premije in prispevke v vzajemne sklade v vseh državah članicah. </w:t>
      </w:r>
      <w:r w:rsidR="00B424E4" w:rsidRPr="004B3B38">
        <w:rPr>
          <w:rFonts w:cs="Arial"/>
          <w:bCs/>
          <w:szCs w:val="20"/>
          <w:lang w:val="sl-SI"/>
        </w:rPr>
        <w:t xml:space="preserve">Tako kot v sedanjem programskem obdobju lahko države članice to podporo odobrijo le za kritje izgub, ki presegajo prag najmanj 20 % povprečne letne proizvodnje ali dohodkov kmeta v predhodnem triletnem obdobju ali triletnega povprečja v predhodnem petletnem obdobju, pri čemer sta izvzeti najvišja in najnižja vrednost. Dodana pa je možnost, da se v okviru sektorskih instrumentov lahko izračunajo izgube tudi v zvezi s specifično zavarovano površino, ter da za trajne nasade in v drugih utemeljenih primerih kakor tudi za mlade kmete in nove kmete države članice določijo drugo metodo za izračun izgube. </w:t>
      </w:r>
    </w:p>
    <w:p w14:paraId="365685CC" w14:textId="77777777" w:rsidR="005350DF" w:rsidRPr="004B3B38" w:rsidRDefault="005350DF" w:rsidP="005350DF">
      <w:pPr>
        <w:spacing w:line="276" w:lineRule="auto"/>
        <w:jc w:val="both"/>
        <w:rPr>
          <w:rFonts w:cs="Arial"/>
          <w:bCs/>
          <w:szCs w:val="20"/>
          <w:lang w:val="sl-SI"/>
        </w:rPr>
      </w:pPr>
    </w:p>
    <w:p w14:paraId="3057B010" w14:textId="0C36645B" w:rsidR="005350DF" w:rsidRPr="004B3B38" w:rsidRDefault="005350DF" w:rsidP="005350DF">
      <w:pPr>
        <w:spacing w:line="276" w:lineRule="auto"/>
        <w:jc w:val="both"/>
        <w:rPr>
          <w:rFonts w:cs="Arial"/>
          <w:bCs/>
          <w:szCs w:val="20"/>
          <w:lang w:val="sl-SI"/>
        </w:rPr>
      </w:pPr>
      <w:r w:rsidRPr="004B3B38">
        <w:rPr>
          <w:rFonts w:cs="Arial"/>
          <w:bCs/>
          <w:szCs w:val="20"/>
          <w:lang w:val="sl-SI"/>
        </w:rPr>
        <w:t>Opredelitev Slovenije:</w:t>
      </w:r>
    </w:p>
    <w:p w14:paraId="28E69DD7" w14:textId="2F715610" w:rsidR="0034608F" w:rsidRPr="004B3B38" w:rsidRDefault="005350DF" w:rsidP="005350DF">
      <w:pPr>
        <w:spacing w:line="276" w:lineRule="auto"/>
        <w:jc w:val="both"/>
        <w:rPr>
          <w:rFonts w:cs="Arial"/>
          <w:bCs/>
          <w:szCs w:val="20"/>
          <w:lang w:val="sl-SI"/>
        </w:rPr>
      </w:pPr>
      <w:r w:rsidRPr="004B3B38">
        <w:rPr>
          <w:rFonts w:cs="Arial"/>
          <w:bCs/>
          <w:szCs w:val="20"/>
          <w:lang w:val="sl-SI"/>
        </w:rPr>
        <w:t xml:space="preserve">Slovenija pozdravlja ohranitev </w:t>
      </w:r>
      <w:r w:rsidR="006B2FFE" w:rsidRPr="004B3B38">
        <w:rPr>
          <w:rFonts w:cs="Arial"/>
          <w:bCs/>
          <w:szCs w:val="20"/>
          <w:lang w:val="sl-SI"/>
        </w:rPr>
        <w:t xml:space="preserve">podpore za sodelovanje v instrumentih za obvladovanje tveganj </w:t>
      </w:r>
      <w:r w:rsidRPr="004B3B38">
        <w:rPr>
          <w:rFonts w:cs="Arial"/>
          <w:bCs/>
          <w:szCs w:val="20"/>
          <w:lang w:val="sl-SI"/>
        </w:rPr>
        <w:t>in p</w:t>
      </w:r>
      <w:r w:rsidR="006403A2" w:rsidRPr="004B3B38">
        <w:rPr>
          <w:rFonts w:cs="Arial"/>
          <w:bCs/>
          <w:szCs w:val="20"/>
          <w:lang w:val="sl-SI"/>
        </w:rPr>
        <w:t xml:space="preserve">rostovoljno </w:t>
      </w:r>
      <w:r w:rsidR="0005292C" w:rsidRPr="004B3B38">
        <w:rPr>
          <w:rFonts w:cs="Arial"/>
          <w:bCs/>
          <w:szCs w:val="20"/>
          <w:lang w:val="sl-SI"/>
        </w:rPr>
        <w:t xml:space="preserve">izvajanje </w:t>
      </w:r>
      <w:r w:rsidR="006B2FFE" w:rsidRPr="004B3B38">
        <w:rPr>
          <w:rFonts w:cs="Arial"/>
          <w:bCs/>
          <w:szCs w:val="20"/>
          <w:lang w:val="sl-SI"/>
        </w:rPr>
        <w:t xml:space="preserve">tega ukrepa </w:t>
      </w:r>
      <w:r w:rsidR="0005292C" w:rsidRPr="004B3B38">
        <w:rPr>
          <w:rFonts w:cs="Arial"/>
          <w:bCs/>
          <w:szCs w:val="20"/>
          <w:lang w:val="sl-SI"/>
        </w:rPr>
        <w:t>s strani države članice</w:t>
      </w:r>
      <w:r w:rsidR="006403A2" w:rsidRPr="004B3B38">
        <w:rPr>
          <w:rFonts w:cs="Arial"/>
          <w:bCs/>
          <w:szCs w:val="20"/>
          <w:lang w:val="sl-SI"/>
        </w:rPr>
        <w:t>,</w:t>
      </w:r>
      <w:r w:rsidRPr="004B3B38">
        <w:rPr>
          <w:rFonts w:cs="Arial"/>
          <w:bCs/>
          <w:szCs w:val="20"/>
          <w:lang w:val="sl-SI"/>
        </w:rPr>
        <w:t xml:space="preserve"> </w:t>
      </w:r>
      <w:r w:rsidR="0005292C" w:rsidRPr="004B3B38">
        <w:rPr>
          <w:rFonts w:cs="Arial"/>
          <w:bCs/>
          <w:szCs w:val="20"/>
          <w:lang w:val="sl-SI"/>
        </w:rPr>
        <w:t>v kolikor</w:t>
      </w:r>
      <w:r w:rsidRPr="004B3B38">
        <w:rPr>
          <w:rFonts w:cs="Arial"/>
          <w:bCs/>
          <w:szCs w:val="20"/>
          <w:lang w:val="sl-SI"/>
        </w:rPr>
        <w:t xml:space="preserve"> že naslavlja to področje</w:t>
      </w:r>
      <w:r w:rsidR="006B2FFE" w:rsidRPr="004B3B38">
        <w:rPr>
          <w:rFonts w:cs="Arial"/>
          <w:bCs/>
          <w:szCs w:val="20"/>
          <w:lang w:val="sl-SI"/>
        </w:rPr>
        <w:t xml:space="preserve"> z nacionalnimi sredstvi</w:t>
      </w:r>
      <w:r w:rsidRPr="004B3B38">
        <w:rPr>
          <w:rFonts w:cs="Arial"/>
          <w:bCs/>
          <w:szCs w:val="20"/>
          <w:lang w:val="sl-SI"/>
        </w:rPr>
        <w:t xml:space="preserve">. </w:t>
      </w:r>
      <w:r w:rsidR="00342FC2" w:rsidRPr="004B3B38">
        <w:rPr>
          <w:rFonts w:cs="Arial"/>
          <w:bCs/>
          <w:szCs w:val="20"/>
          <w:lang w:val="sl-SI"/>
        </w:rPr>
        <w:t>Prav tako se strinjamo z izvedbenimi možnost</w:t>
      </w:r>
      <w:r w:rsidR="00CE76F4" w:rsidRPr="004B3B38">
        <w:rPr>
          <w:rFonts w:cs="Arial"/>
          <w:bCs/>
          <w:szCs w:val="20"/>
          <w:lang w:val="sl-SI"/>
        </w:rPr>
        <w:t xml:space="preserve">mi. </w:t>
      </w:r>
    </w:p>
    <w:p w14:paraId="3C84E179" w14:textId="77777777" w:rsidR="005350DF" w:rsidRPr="004B3B38" w:rsidRDefault="005350DF" w:rsidP="005350DF">
      <w:pPr>
        <w:spacing w:line="276" w:lineRule="auto"/>
        <w:jc w:val="both"/>
        <w:rPr>
          <w:rFonts w:cs="Arial"/>
          <w:bCs/>
          <w:szCs w:val="20"/>
          <w:lang w:val="sl-SI"/>
        </w:rPr>
      </w:pPr>
    </w:p>
    <w:p w14:paraId="226CFDF3" w14:textId="783474DF" w:rsidR="00863796" w:rsidRPr="004B3B38" w:rsidRDefault="00863796" w:rsidP="003E4978">
      <w:pPr>
        <w:spacing w:line="276" w:lineRule="auto"/>
        <w:jc w:val="both"/>
        <w:rPr>
          <w:rFonts w:cs="Arial"/>
          <w:bCs/>
          <w:szCs w:val="20"/>
          <w:u w:val="single"/>
          <w:lang w:val="sl-SI"/>
        </w:rPr>
      </w:pPr>
      <w:r w:rsidRPr="004B3B38">
        <w:rPr>
          <w:rFonts w:cs="Arial"/>
          <w:bCs/>
          <w:szCs w:val="20"/>
          <w:u w:val="single"/>
          <w:lang w:val="sl-SI"/>
        </w:rPr>
        <w:t>Generacijska pomladitev v kmetijstvu</w:t>
      </w:r>
      <w:r w:rsidR="00F95A50" w:rsidRPr="004B3B38">
        <w:rPr>
          <w:rFonts w:cs="Arial"/>
          <w:bCs/>
          <w:szCs w:val="20"/>
          <w:u w:val="single"/>
          <w:lang w:val="sl-SI"/>
        </w:rPr>
        <w:t xml:space="preserve"> (nacionalna strategija, začetni sveženj ukrepov za mlade kmete)</w:t>
      </w:r>
    </w:p>
    <w:p w14:paraId="7A930522" w14:textId="77777777" w:rsidR="00863796" w:rsidRPr="004B3B38" w:rsidRDefault="00863796" w:rsidP="003E4978">
      <w:pPr>
        <w:spacing w:line="276" w:lineRule="auto"/>
        <w:jc w:val="both"/>
        <w:rPr>
          <w:rFonts w:cs="Arial"/>
          <w:bCs/>
          <w:szCs w:val="20"/>
          <w:lang w:val="sl-SI"/>
        </w:rPr>
      </w:pPr>
    </w:p>
    <w:p w14:paraId="63AA8441" w14:textId="29FF7D47" w:rsidR="005350DF" w:rsidRPr="004B3B38" w:rsidRDefault="005350DF" w:rsidP="005350DF">
      <w:pPr>
        <w:spacing w:line="276" w:lineRule="auto"/>
        <w:jc w:val="both"/>
        <w:rPr>
          <w:rFonts w:cs="Arial"/>
          <w:bCs/>
          <w:szCs w:val="20"/>
          <w:lang w:val="sl-SI"/>
        </w:rPr>
      </w:pPr>
      <w:r w:rsidRPr="004B3B38">
        <w:rPr>
          <w:rFonts w:cs="Arial"/>
          <w:bCs/>
          <w:szCs w:val="20"/>
          <w:lang w:val="sl-SI"/>
        </w:rPr>
        <w:t>Čeprav SKP pozitivno vpliva na generacijsko pomladitev v kmetijstvu, Vizija EU za kmetijstvo in prehrano ugotavlja, da še vedno obstajajo ovire, zlasti glede zagotavljanja osnovne infrastrukture in storitev na podeželju, dostopa do zemljišč ter socialne varnosti za mlade kmete in kmete, ki odhajajo v pokoj.</w:t>
      </w:r>
    </w:p>
    <w:p w14:paraId="1FA08ADB" w14:textId="77777777" w:rsidR="005350DF" w:rsidRPr="004B3B38" w:rsidRDefault="005350DF" w:rsidP="005350DF">
      <w:pPr>
        <w:spacing w:line="276" w:lineRule="auto"/>
        <w:jc w:val="both"/>
        <w:rPr>
          <w:rFonts w:cs="Arial"/>
          <w:bCs/>
          <w:szCs w:val="20"/>
          <w:lang w:val="sl-SI"/>
        </w:rPr>
      </w:pPr>
    </w:p>
    <w:p w14:paraId="6CFBB3D8" w14:textId="50393CC8" w:rsidR="005350DF" w:rsidRPr="004B3B38" w:rsidRDefault="005350DF" w:rsidP="005350DF">
      <w:pPr>
        <w:spacing w:line="276" w:lineRule="auto"/>
        <w:jc w:val="both"/>
        <w:rPr>
          <w:rFonts w:cs="Arial"/>
          <w:bCs/>
          <w:szCs w:val="20"/>
          <w:lang w:val="sl-SI"/>
        </w:rPr>
      </w:pPr>
      <w:r w:rsidRPr="004B3B38">
        <w:rPr>
          <w:rFonts w:cs="Arial"/>
          <w:bCs/>
          <w:szCs w:val="20"/>
          <w:lang w:val="sl-SI"/>
        </w:rPr>
        <w:t>Z namenom obravnave posebnih potreb mladih kmetov in novih udeležencev se bo po novem od vsake države članice zahtevalo, da v načrtu za NRP opredeli strategijo za generacijsko pomladitev, ki bo temeljila na oceni posebnega nacionalnega okvira, v skladu z Vizijo EU za kmetijstvo in prehrano, ki daje prednost dolgoročni trajnosti in privlačnosti kmetijskega in agroživilskega sektorja EU.</w:t>
      </w:r>
    </w:p>
    <w:p w14:paraId="0F2F5FD4" w14:textId="77777777" w:rsidR="005350DF" w:rsidRPr="004B3B38" w:rsidRDefault="005350DF" w:rsidP="005350DF">
      <w:pPr>
        <w:spacing w:line="276" w:lineRule="auto"/>
        <w:jc w:val="both"/>
        <w:rPr>
          <w:rFonts w:cs="Arial"/>
          <w:bCs/>
          <w:szCs w:val="20"/>
          <w:lang w:val="sl-SI"/>
        </w:rPr>
      </w:pPr>
    </w:p>
    <w:p w14:paraId="277C1352" w14:textId="646D8B37"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Države članice bodo morale razviti tudi celovit »začetni sveženj« za mlade kmete, namenjen olajšanju vstopa in zagona dejavnosti v sektorju, vključno s predpisanim naborom vseh ukrepov, prilagojenih mladim kmetom, z največjim možnim </w:t>
      </w:r>
      <w:proofErr w:type="spellStart"/>
      <w:r w:rsidRPr="004B3B38">
        <w:rPr>
          <w:rFonts w:cs="Arial"/>
          <w:bCs/>
          <w:szCs w:val="20"/>
          <w:lang w:val="sl-SI"/>
        </w:rPr>
        <w:t>sinergijskim</w:t>
      </w:r>
      <w:proofErr w:type="spellEnd"/>
      <w:r w:rsidRPr="004B3B38">
        <w:rPr>
          <w:rFonts w:cs="Arial"/>
          <w:bCs/>
          <w:szCs w:val="20"/>
          <w:lang w:val="sl-SI"/>
        </w:rPr>
        <w:t xml:space="preserve"> učinkom. Prav tako bo treba določiti kontaktno točko za informacije.</w:t>
      </w:r>
    </w:p>
    <w:p w14:paraId="5DFDF951" w14:textId="77777777" w:rsidR="005350DF" w:rsidRPr="004B3B38" w:rsidRDefault="005350DF" w:rsidP="005350DF">
      <w:pPr>
        <w:spacing w:line="276" w:lineRule="auto"/>
        <w:jc w:val="both"/>
        <w:rPr>
          <w:rFonts w:cs="Arial"/>
          <w:bCs/>
          <w:szCs w:val="20"/>
          <w:lang w:val="sl-SI"/>
        </w:rPr>
      </w:pPr>
    </w:p>
    <w:p w14:paraId="1138B935" w14:textId="5982B1F1" w:rsidR="00863796" w:rsidRPr="004B3B38" w:rsidRDefault="005350DF" w:rsidP="005350DF">
      <w:pPr>
        <w:spacing w:line="276" w:lineRule="auto"/>
        <w:jc w:val="both"/>
        <w:rPr>
          <w:rFonts w:cs="Arial"/>
          <w:bCs/>
          <w:szCs w:val="20"/>
          <w:lang w:val="sl-SI"/>
        </w:rPr>
      </w:pPr>
      <w:r w:rsidRPr="004B3B38">
        <w:rPr>
          <w:rFonts w:cs="Arial"/>
          <w:bCs/>
          <w:szCs w:val="20"/>
          <w:lang w:val="sl-SI"/>
        </w:rPr>
        <w:t>Opredelitev: Slovenija podpira prizadevanja za generacijsko pomladitev v kmetijstvu in poudarja potrebo po spodbujanju inovacij, digitalizacije ter dostopa do financiranja za mlade kmete, da bodo lahko dolgoročno uspešno vodili svoja gospodarstva. V Sloveniji je povprečna starost kmetov 63 let, pri čemer več kot 40 % kmetov presega 65 let, medtem ko je delež mladih kmetov, mlajših od 35 let, le 3,5 %. Takšna starostna struktura predstavlja resno grožnjo dolgoročni vzdržnosti kmetijstva in prehranske varnosti. Zaradi tega je Slovenija v lanskem letu pristopila k pripravi akcijskega načrta za generacijsko pomladitev, ki bo mladim kmetom olajšal dostop do zemljišč, financiranja, svetovanja in socialne varnosti ter spodbudil razvoj konkurenčnih in trajnostnih kmetijskih gospodarstev.</w:t>
      </w:r>
    </w:p>
    <w:p w14:paraId="54852CA4" w14:textId="77777777" w:rsidR="005350DF" w:rsidRPr="004B3B38" w:rsidRDefault="005350DF" w:rsidP="005350DF">
      <w:pPr>
        <w:spacing w:line="276" w:lineRule="auto"/>
        <w:jc w:val="both"/>
        <w:rPr>
          <w:rFonts w:cs="Arial"/>
          <w:bCs/>
          <w:szCs w:val="20"/>
          <w:lang w:val="sl-SI"/>
        </w:rPr>
      </w:pPr>
    </w:p>
    <w:p w14:paraId="01C74F6C" w14:textId="494F0AC9" w:rsidR="00F95A50" w:rsidRPr="004B3B38" w:rsidRDefault="00F95A50" w:rsidP="003E4978">
      <w:pPr>
        <w:spacing w:line="276" w:lineRule="auto"/>
        <w:jc w:val="both"/>
        <w:rPr>
          <w:rFonts w:cs="Arial"/>
          <w:bCs/>
          <w:szCs w:val="20"/>
          <w:u w:val="single"/>
          <w:lang w:val="sl-SI"/>
        </w:rPr>
      </w:pPr>
      <w:r w:rsidRPr="004B3B38">
        <w:rPr>
          <w:rFonts w:cs="Arial"/>
          <w:bCs/>
          <w:szCs w:val="20"/>
          <w:u w:val="single"/>
          <w:lang w:val="sl-SI"/>
        </w:rPr>
        <w:t>Podpora za zagotavljanje nadomeščanja na kmetijah</w:t>
      </w:r>
    </w:p>
    <w:p w14:paraId="73E31835" w14:textId="77777777" w:rsidR="00D77CA2" w:rsidRPr="004B3B38" w:rsidRDefault="00D77CA2" w:rsidP="003E4978">
      <w:pPr>
        <w:spacing w:line="276" w:lineRule="auto"/>
        <w:jc w:val="both"/>
        <w:rPr>
          <w:rFonts w:cs="Arial"/>
          <w:bCs/>
          <w:szCs w:val="20"/>
          <w:lang w:val="sl-SI"/>
        </w:rPr>
      </w:pPr>
    </w:p>
    <w:p w14:paraId="0F17AECD" w14:textId="0264A4B0" w:rsidR="005350DF" w:rsidRPr="004B3B38" w:rsidRDefault="005350DF" w:rsidP="005350DF">
      <w:pPr>
        <w:spacing w:line="276" w:lineRule="auto"/>
        <w:jc w:val="both"/>
        <w:rPr>
          <w:rFonts w:cs="Arial"/>
          <w:bCs/>
          <w:szCs w:val="20"/>
          <w:lang w:val="sl-SI"/>
        </w:rPr>
      </w:pPr>
      <w:r w:rsidRPr="004B3B38">
        <w:rPr>
          <w:rFonts w:cs="Arial"/>
          <w:bCs/>
          <w:szCs w:val="20"/>
          <w:lang w:val="sl-SI"/>
        </w:rPr>
        <w:t>Gre za nov ukrep, ki bo prostovoljen za državo članico in bo omogočal kritje bolniške odsotnosti, porodniške, udeležbe na usposabljanjih ipd., tako za vzpostavitev teh storitev kot za stroške delavca, ki za omejen čas nadomešča nosilca kmetijskega gospodarstva. Ukrep predstavlja poskus zagotavljanja bolj uravnoteženega poklicnega in zasebnega življenja, kar je še posebej pomembno za mlajšo generacijo</w:t>
      </w:r>
      <w:r w:rsidRPr="004B3B38">
        <w:rPr>
          <w:lang w:val="sl-SI"/>
        </w:rPr>
        <w:t>.</w:t>
      </w:r>
    </w:p>
    <w:p w14:paraId="1A99B4AF" w14:textId="77777777" w:rsidR="005350DF" w:rsidRPr="004B3B38" w:rsidRDefault="005350DF" w:rsidP="005350DF">
      <w:pPr>
        <w:spacing w:line="276" w:lineRule="auto"/>
        <w:jc w:val="both"/>
        <w:rPr>
          <w:rFonts w:cs="Arial"/>
          <w:bCs/>
          <w:szCs w:val="20"/>
          <w:lang w:val="sl-SI"/>
        </w:rPr>
      </w:pPr>
    </w:p>
    <w:p w14:paraId="72A26420" w14:textId="43746209" w:rsidR="00863796"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Slovenija pozdravlja uvedbo tega ukrepa, </w:t>
      </w:r>
      <w:r w:rsidR="00664A0E" w:rsidRPr="004B3B38">
        <w:rPr>
          <w:rFonts w:cs="Arial"/>
          <w:bCs/>
          <w:szCs w:val="20"/>
          <w:lang w:val="sl-SI"/>
        </w:rPr>
        <w:t xml:space="preserve">saj ocenjujemo, da bo </w:t>
      </w:r>
      <w:r w:rsidRPr="004B3B38">
        <w:rPr>
          <w:rFonts w:cs="Arial"/>
          <w:bCs/>
          <w:szCs w:val="20"/>
          <w:lang w:val="sl-SI"/>
        </w:rPr>
        <w:t>prispeva</w:t>
      </w:r>
      <w:r w:rsidR="00664A0E" w:rsidRPr="004B3B38">
        <w:rPr>
          <w:rFonts w:cs="Arial"/>
          <w:bCs/>
          <w:szCs w:val="20"/>
          <w:lang w:val="sl-SI"/>
        </w:rPr>
        <w:t>l</w:t>
      </w:r>
      <w:r w:rsidRPr="004B3B38">
        <w:rPr>
          <w:rFonts w:cs="Arial"/>
          <w:bCs/>
          <w:szCs w:val="20"/>
          <w:lang w:val="sl-SI"/>
        </w:rPr>
        <w:t xml:space="preserve"> k bolj uravnoteženemu poklicnemu in </w:t>
      </w:r>
      <w:r w:rsidR="00664A0E" w:rsidRPr="004B3B38">
        <w:rPr>
          <w:rFonts w:cs="Arial"/>
          <w:bCs/>
          <w:szCs w:val="20"/>
          <w:lang w:val="sl-SI"/>
        </w:rPr>
        <w:t>družinskemu</w:t>
      </w:r>
      <w:r w:rsidRPr="004B3B38">
        <w:rPr>
          <w:rFonts w:cs="Arial"/>
          <w:bCs/>
          <w:szCs w:val="20"/>
          <w:lang w:val="sl-SI"/>
        </w:rPr>
        <w:t xml:space="preserve"> življenju kmetov, </w:t>
      </w:r>
      <w:r w:rsidR="00664A0E" w:rsidRPr="004B3B38">
        <w:rPr>
          <w:rFonts w:cs="Arial"/>
          <w:bCs/>
          <w:szCs w:val="20"/>
          <w:lang w:val="sl-SI"/>
        </w:rPr>
        <w:t xml:space="preserve">ter tako skupaj s prednostno </w:t>
      </w:r>
      <w:r w:rsidR="00664A0E" w:rsidRPr="004B3B38">
        <w:rPr>
          <w:rFonts w:cs="Arial"/>
          <w:bCs/>
          <w:szCs w:val="20"/>
          <w:lang w:val="sl-SI"/>
        </w:rPr>
        <w:lastRenderedPageBreak/>
        <w:t>obravnavo mladih kmetov v okviru nekaterih drugih ukrepov pospešil generacijsko prenovo</w:t>
      </w:r>
      <w:r w:rsidRPr="004B3B38">
        <w:rPr>
          <w:rFonts w:cs="Arial"/>
          <w:bCs/>
          <w:szCs w:val="20"/>
          <w:lang w:val="sl-SI"/>
        </w:rPr>
        <w:t>.</w:t>
      </w:r>
      <w:r w:rsidR="00664A0E" w:rsidRPr="004B3B38">
        <w:rPr>
          <w:rFonts w:cs="Arial"/>
          <w:bCs/>
          <w:szCs w:val="20"/>
          <w:lang w:val="sl-SI"/>
        </w:rPr>
        <w:t xml:space="preserve"> </w:t>
      </w:r>
      <w:r w:rsidR="002C28CE" w:rsidRPr="004B3B38">
        <w:rPr>
          <w:rFonts w:cs="Arial"/>
          <w:bCs/>
          <w:szCs w:val="20"/>
          <w:lang w:val="sl-SI"/>
        </w:rPr>
        <w:t xml:space="preserve">Prav tako je pomembno, da je uvedba tega ukrepa </w:t>
      </w:r>
      <w:r w:rsidR="00664A0E" w:rsidRPr="004B3B38">
        <w:rPr>
          <w:rFonts w:cs="Arial"/>
          <w:bCs/>
          <w:szCs w:val="20"/>
          <w:lang w:val="sl-SI"/>
        </w:rPr>
        <w:t>prostovoljna</w:t>
      </w:r>
      <w:r w:rsidR="002C28CE" w:rsidRPr="004B3B38">
        <w:rPr>
          <w:rFonts w:cs="Arial"/>
          <w:bCs/>
          <w:szCs w:val="20"/>
          <w:lang w:val="sl-SI"/>
        </w:rPr>
        <w:t>.</w:t>
      </w:r>
    </w:p>
    <w:p w14:paraId="20DC9D56" w14:textId="77777777" w:rsidR="005350DF" w:rsidRPr="004B3B38" w:rsidRDefault="005350DF" w:rsidP="005350DF">
      <w:pPr>
        <w:spacing w:line="276" w:lineRule="auto"/>
        <w:jc w:val="both"/>
        <w:rPr>
          <w:rFonts w:cs="Arial"/>
          <w:bCs/>
          <w:szCs w:val="20"/>
          <w:lang w:val="sl-SI"/>
        </w:rPr>
      </w:pPr>
    </w:p>
    <w:p w14:paraId="256291BE" w14:textId="1E8E75B3" w:rsidR="00863796" w:rsidRPr="004B3B38" w:rsidRDefault="00F95A50" w:rsidP="003E4978">
      <w:pPr>
        <w:spacing w:line="276" w:lineRule="auto"/>
        <w:jc w:val="both"/>
        <w:rPr>
          <w:rFonts w:cs="Arial"/>
          <w:bCs/>
          <w:szCs w:val="20"/>
          <w:u w:val="single"/>
          <w:lang w:val="sl-SI"/>
        </w:rPr>
      </w:pPr>
      <w:r w:rsidRPr="004B3B38">
        <w:rPr>
          <w:rFonts w:cs="Arial"/>
          <w:bCs/>
          <w:szCs w:val="20"/>
          <w:u w:val="single"/>
          <w:lang w:val="sl-SI"/>
        </w:rPr>
        <w:t xml:space="preserve">Podpora za </w:t>
      </w:r>
      <w:r w:rsidR="00D77CA2" w:rsidRPr="004B3B38">
        <w:rPr>
          <w:rFonts w:cs="Arial"/>
          <w:bCs/>
          <w:szCs w:val="20"/>
          <w:u w:val="single"/>
          <w:lang w:val="sl-SI"/>
        </w:rPr>
        <w:t xml:space="preserve">Lokalno pobudo za razvoj podeželja (fr. </w:t>
      </w:r>
      <w:proofErr w:type="spellStart"/>
      <w:r w:rsidR="00D77CA2" w:rsidRPr="004B3B38">
        <w:rPr>
          <w:rFonts w:cs="Arial"/>
          <w:bCs/>
          <w:szCs w:val="20"/>
          <w:u w:val="single"/>
          <w:lang w:val="sl-SI"/>
        </w:rPr>
        <w:t>Liaison</w:t>
      </w:r>
      <w:proofErr w:type="spellEnd"/>
      <w:r w:rsidR="00D77CA2" w:rsidRPr="004B3B38">
        <w:rPr>
          <w:rFonts w:cs="Arial"/>
          <w:bCs/>
          <w:szCs w:val="20"/>
          <w:u w:val="single"/>
          <w:lang w:val="sl-SI"/>
        </w:rPr>
        <w:t xml:space="preserve"> </w:t>
      </w:r>
      <w:proofErr w:type="spellStart"/>
      <w:r w:rsidR="00D77CA2" w:rsidRPr="004B3B38">
        <w:rPr>
          <w:rFonts w:cs="Arial"/>
          <w:bCs/>
          <w:szCs w:val="20"/>
          <w:u w:val="single"/>
          <w:lang w:val="sl-SI"/>
        </w:rPr>
        <w:t>Entre</w:t>
      </w:r>
      <w:proofErr w:type="spellEnd"/>
      <w:r w:rsidR="00D77CA2" w:rsidRPr="004B3B38">
        <w:rPr>
          <w:rFonts w:cs="Arial"/>
          <w:bCs/>
          <w:szCs w:val="20"/>
          <w:u w:val="single"/>
          <w:lang w:val="sl-SI"/>
        </w:rPr>
        <w:t xml:space="preserve"> </w:t>
      </w:r>
      <w:proofErr w:type="spellStart"/>
      <w:r w:rsidR="00D77CA2" w:rsidRPr="004B3B38">
        <w:rPr>
          <w:rFonts w:cs="Arial"/>
          <w:bCs/>
          <w:szCs w:val="20"/>
          <w:u w:val="single"/>
          <w:lang w:val="sl-SI"/>
        </w:rPr>
        <w:t>Actions</w:t>
      </w:r>
      <w:proofErr w:type="spellEnd"/>
      <w:r w:rsidR="00D77CA2" w:rsidRPr="004B3B38">
        <w:rPr>
          <w:rFonts w:cs="Arial"/>
          <w:bCs/>
          <w:szCs w:val="20"/>
          <w:u w:val="single"/>
          <w:lang w:val="sl-SI"/>
        </w:rPr>
        <w:t xml:space="preserve"> de </w:t>
      </w:r>
      <w:proofErr w:type="spellStart"/>
      <w:r w:rsidR="00D77CA2" w:rsidRPr="004B3B38">
        <w:rPr>
          <w:rFonts w:cs="Arial"/>
          <w:bCs/>
          <w:szCs w:val="20"/>
          <w:u w:val="single"/>
          <w:lang w:val="sl-SI"/>
        </w:rPr>
        <w:t>Développement</w:t>
      </w:r>
      <w:proofErr w:type="spellEnd"/>
      <w:r w:rsidR="00D77CA2" w:rsidRPr="004B3B38">
        <w:rPr>
          <w:rFonts w:cs="Arial"/>
          <w:bCs/>
          <w:szCs w:val="20"/>
          <w:u w:val="single"/>
          <w:lang w:val="sl-SI"/>
        </w:rPr>
        <w:t xml:space="preserve"> de </w:t>
      </w:r>
      <w:proofErr w:type="spellStart"/>
      <w:r w:rsidR="00D77CA2" w:rsidRPr="004B3B38">
        <w:rPr>
          <w:rFonts w:cs="Arial"/>
          <w:bCs/>
          <w:szCs w:val="20"/>
          <w:u w:val="single"/>
          <w:lang w:val="sl-SI"/>
        </w:rPr>
        <w:t>l'Économie</w:t>
      </w:r>
      <w:proofErr w:type="spellEnd"/>
      <w:r w:rsidR="00D77CA2" w:rsidRPr="004B3B38">
        <w:rPr>
          <w:rFonts w:cs="Arial"/>
          <w:bCs/>
          <w:szCs w:val="20"/>
          <w:u w:val="single"/>
          <w:lang w:val="sl-SI"/>
        </w:rPr>
        <w:t xml:space="preserve"> </w:t>
      </w:r>
      <w:proofErr w:type="spellStart"/>
      <w:r w:rsidR="00D77CA2" w:rsidRPr="004B3B38">
        <w:rPr>
          <w:rFonts w:cs="Arial"/>
          <w:bCs/>
          <w:szCs w:val="20"/>
          <w:u w:val="single"/>
          <w:lang w:val="sl-SI"/>
        </w:rPr>
        <w:t>Rural</w:t>
      </w:r>
      <w:proofErr w:type="spellEnd"/>
      <w:r w:rsidR="00D77CA2" w:rsidRPr="004B3B38">
        <w:rPr>
          <w:rFonts w:cs="Arial"/>
          <w:bCs/>
          <w:szCs w:val="20"/>
          <w:u w:val="single"/>
          <w:lang w:val="sl-SI"/>
        </w:rPr>
        <w:t xml:space="preserve"> – </w:t>
      </w:r>
      <w:r w:rsidRPr="004B3B38">
        <w:rPr>
          <w:rFonts w:cs="Arial"/>
          <w:bCs/>
          <w:szCs w:val="20"/>
          <w:u w:val="single"/>
          <w:lang w:val="sl-SI"/>
        </w:rPr>
        <w:t>LEADER</w:t>
      </w:r>
      <w:r w:rsidR="00D77CA2" w:rsidRPr="004B3B38">
        <w:rPr>
          <w:rFonts w:cs="Arial"/>
          <w:bCs/>
          <w:szCs w:val="20"/>
          <w:u w:val="single"/>
          <w:lang w:val="sl-SI"/>
        </w:rPr>
        <w:t>)</w:t>
      </w:r>
      <w:r w:rsidR="004453F7" w:rsidRPr="004B3B38">
        <w:rPr>
          <w:rFonts w:cs="Arial"/>
          <w:bCs/>
          <w:szCs w:val="20"/>
          <w:u w:val="single"/>
          <w:lang w:val="sl-SI"/>
        </w:rPr>
        <w:t>, Podpora za izmenjavo znanja in inovacije v kmetijstvu, gozdarstvu in na podeželju</w:t>
      </w:r>
    </w:p>
    <w:p w14:paraId="1151552D" w14:textId="77777777" w:rsidR="00D77CA2" w:rsidRPr="004B3B38" w:rsidRDefault="00D77CA2" w:rsidP="003E4978">
      <w:pPr>
        <w:spacing w:line="276" w:lineRule="auto"/>
        <w:jc w:val="both"/>
        <w:rPr>
          <w:rFonts w:cs="Arial"/>
          <w:bCs/>
          <w:szCs w:val="20"/>
          <w:lang w:val="sl-SI"/>
        </w:rPr>
      </w:pPr>
    </w:p>
    <w:p w14:paraId="75B8AE48" w14:textId="3887C349"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Za spodbujanje socialnega, gospodarskega, okoljskega in digitalnega prehoda na podeželju morajo države članice </w:t>
      </w:r>
      <w:r w:rsidR="004B3204" w:rsidRPr="004B3B38">
        <w:rPr>
          <w:rFonts w:cs="Arial"/>
          <w:bCs/>
          <w:szCs w:val="20"/>
          <w:lang w:val="sl-SI"/>
        </w:rPr>
        <w:t xml:space="preserve">tudi v prihodnje </w:t>
      </w:r>
      <w:r w:rsidRPr="004B3B38">
        <w:rPr>
          <w:rFonts w:cs="Arial"/>
          <w:bCs/>
          <w:szCs w:val="20"/>
          <w:lang w:val="sl-SI"/>
        </w:rPr>
        <w:t xml:space="preserve">zagotoviti podporo pristopu LEADER. </w:t>
      </w:r>
    </w:p>
    <w:p w14:paraId="67B6EB02" w14:textId="611164A3" w:rsidR="00863796" w:rsidRPr="004B3B38" w:rsidRDefault="00863796" w:rsidP="005350DF">
      <w:pPr>
        <w:spacing w:line="276" w:lineRule="auto"/>
        <w:jc w:val="both"/>
        <w:rPr>
          <w:rFonts w:cs="Arial"/>
          <w:bCs/>
          <w:szCs w:val="20"/>
          <w:lang w:val="sl-SI"/>
        </w:rPr>
      </w:pPr>
    </w:p>
    <w:p w14:paraId="7F80A9AC" w14:textId="1552B7B5" w:rsidR="005350DF" w:rsidRPr="004B3B38" w:rsidRDefault="005350DF" w:rsidP="005350DF">
      <w:pPr>
        <w:spacing w:line="276" w:lineRule="auto"/>
        <w:jc w:val="both"/>
        <w:rPr>
          <w:rFonts w:cs="Arial"/>
          <w:bCs/>
          <w:szCs w:val="20"/>
          <w:lang w:val="sl-SI"/>
        </w:rPr>
      </w:pPr>
      <w:r w:rsidRPr="004B3B38">
        <w:rPr>
          <w:rFonts w:cs="Arial"/>
          <w:bCs/>
          <w:szCs w:val="20"/>
          <w:lang w:val="sl-SI"/>
        </w:rPr>
        <w:t>Evropsko partnerstvo za inovacije na področju kmetijske produktivnosti in trajnosti (EIP-AGRI) ostaja pomembno orodje politike za podporo interaktivnim inovacijam, saj krepi izmenjavo znanja med akterji z namenom širjenja rešitev, pripravljenih za uporabo v praksi.</w:t>
      </w:r>
    </w:p>
    <w:p w14:paraId="05FA2BB1" w14:textId="77777777" w:rsidR="005350DF" w:rsidRPr="004B3B38" w:rsidRDefault="005350DF" w:rsidP="005350DF">
      <w:pPr>
        <w:spacing w:line="276" w:lineRule="auto"/>
        <w:jc w:val="both"/>
        <w:rPr>
          <w:rFonts w:cs="Arial"/>
          <w:bCs/>
          <w:szCs w:val="20"/>
          <w:lang w:val="sl-SI"/>
        </w:rPr>
      </w:pPr>
    </w:p>
    <w:p w14:paraId="7A4ECBE0" w14:textId="7437FA35" w:rsidR="00863796"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w:t>
      </w:r>
      <w:r w:rsidR="000126DD" w:rsidRPr="004B3B38">
        <w:rPr>
          <w:rFonts w:cs="Arial"/>
          <w:bCs/>
          <w:szCs w:val="20"/>
          <w:lang w:val="sl-SI"/>
        </w:rPr>
        <w:t>B</w:t>
      </w:r>
      <w:r w:rsidR="007B48EE" w:rsidRPr="004B3B38">
        <w:rPr>
          <w:rFonts w:cs="Arial"/>
          <w:bCs/>
          <w:szCs w:val="20"/>
          <w:lang w:val="sl-SI"/>
        </w:rPr>
        <w:t xml:space="preserve">olj celovit pristop pri razvoju podeželja je korak v pravo smer, pri tem pa je treba zagotoviti, da bo LEADER v ustreznem obsegu podprt in vključen v Načrt. </w:t>
      </w:r>
      <w:r w:rsidR="004453F7" w:rsidRPr="004B3B38">
        <w:rPr>
          <w:rFonts w:cs="Arial"/>
          <w:bCs/>
          <w:szCs w:val="20"/>
          <w:lang w:val="sl-SI"/>
        </w:rPr>
        <w:t xml:space="preserve">Slovenija podpira pristop LEADER, saj spodbuja sodelovanje lokalnih skupnosti, krepi lokalno ekonomijo, omogoča inovacije ter prispeva k trajnostnemu in uravnoteženemu razvoju podeželja. </w:t>
      </w:r>
      <w:r w:rsidRPr="004B3B38">
        <w:rPr>
          <w:rFonts w:cs="Arial"/>
          <w:bCs/>
          <w:szCs w:val="20"/>
          <w:lang w:val="sl-SI"/>
        </w:rPr>
        <w:t xml:space="preserve">Slovenija </w:t>
      </w:r>
      <w:r w:rsidR="004453F7" w:rsidRPr="004B3B38">
        <w:rPr>
          <w:rFonts w:cs="Arial"/>
          <w:bCs/>
          <w:szCs w:val="20"/>
          <w:lang w:val="sl-SI"/>
        </w:rPr>
        <w:t xml:space="preserve">tudi </w:t>
      </w:r>
      <w:r w:rsidRPr="004B3B38">
        <w:rPr>
          <w:rFonts w:cs="Arial"/>
          <w:bCs/>
          <w:szCs w:val="20"/>
          <w:lang w:val="sl-SI"/>
        </w:rPr>
        <w:t>podpira EIP-AGRI, saj spodbuja sodelovanje med deležniki ter omogoča prenos praktičnih izkušenj in rešitev, ki so takoj uporabne v praksi.</w:t>
      </w:r>
      <w:r w:rsidR="001503A7" w:rsidRPr="004B3B38">
        <w:rPr>
          <w:rFonts w:cs="Arial"/>
          <w:bCs/>
          <w:szCs w:val="20"/>
          <w:lang w:val="sl-SI"/>
        </w:rPr>
        <w:t xml:space="preserve"> </w:t>
      </w:r>
    </w:p>
    <w:p w14:paraId="3F968F6A" w14:textId="0E08B2DF" w:rsidR="005350DF" w:rsidRPr="004B3B38" w:rsidRDefault="005350DF" w:rsidP="005350DF">
      <w:pPr>
        <w:spacing w:line="276" w:lineRule="auto"/>
        <w:jc w:val="both"/>
        <w:rPr>
          <w:rFonts w:cs="Arial"/>
          <w:bCs/>
          <w:szCs w:val="20"/>
          <w:lang w:val="sl-SI"/>
        </w:rPr>
      </w:pPr>
    </w:p>
    <w:p w14:paraId="64E870F8" w14:textId="52661A83" w:rsidR="00863796" w:rsidRPr="004B3B38" w:rsidRDefault="00F95A50" w:rsidP="003E4978">
      <w:pPr>
        <w:spacing w:line="276" w:lineRule="auto"/>
        <w:jc w:val="both"/>
        <w:rPr>
          <w:rFonts w:cs="Arial"/>
          <w:bCs/>
          <w:szCs w:val="20"/>
          <w:u w:val="single"/>
          <w:lang w:val="sl-SI"/>
        </w:rPr>
      </w:pPr>
      <w:r w:rsidRPr="004B3B38">
        <w:rPr>
          <w:rFonts w:cs="Arial"/>
          <w:bCs/>
          <w:szCs w:val="20"/>
          <w:u w:val="single"/>
          <w:lang w:val="sl-SI"/>
        </w:rPr>
        <w:t>Sistemi znanja in inovacij na področju kmetijstva ter storitve kmetijskega svetovanja</w:t>
      </w:r>
    </w:p>
    <w:p w14:paraId="41184BAD" w14:textId="6C0C3F63" w:rsidR="00F95A50" w:rsidRPr="004B3B38" w:rsidRDefault="00F95A50" w:rsidP="003E4978">
      <w:pPr>
        <w:spacing w:line="276" w:lineRule="auto"/>
        <w:jc w:val="both"/>
        <w:rPr>
          <w:rFonts w:cs="Arial"/>
          <w:bCs/>
          <w:szCs w:val="20"/>
          <w:lang w:val="sl-SI"/>
        </w:rPr>
      </w:pPr>
    </w:p>
    <w:p w14:paraId="2A22F4F4" w14:textId="672DED99" w:rsidR="00863796" w:rsidRPr="004B3B38" w:rsidRDefault="00022606" w:rsidP="00022606">
      <w:pPr>
        <w:spacing w:line="276" w:lineRule="auto"/>
        <w:jc w:val="both"/>
        <w:rPr>
          <w:rFonts w:cs="Arial"/>
          <w:bCs/>
          <w:szCs w:val="20"/>
          <w:lang w:val="sl-SI"/>
        </w:rPr>
      </w:pPr>
      <w:r w:rsidRPr="004B3B38">
        <w:rPr>
          <w:lang w:val="sl-SI"/>
        </w:rPr>
        <w:t xml:space="preserve">Vsaka država članica kmetom in lastnikom gozdov </w:t>
      </w:r>
      <w:r w:rsidR="004B3204" w:rsidRPr="004B3B38">
        <w:rPr>
          <w:lang w:val="sl-SI"/>
        </w:rPr>
        <w:t xml:space="preserve">mora </w:t>
      </w:r>
      <w:r w:rsidRPr="004B3B38">
        <w:rPr>
          <w:lang w:val="sl-SI"/>
        </w:rPr>
        <w:t>zagotovi</w:t>
      </w:r>
      <w:r w:rsidR="004B3204" w:rsidRPr="004B3B38">
        <w:rPr>
          <w:lang w:val="sl-SI"/>
        </w:rPr>
        <w:t>ti</w:t>
      </w:r>
      <w:r w:rsidRPr="004B3B38">
        <w:rPr>
          <w:lang w:val="sl-SI"/>
        </w:rPr>
        <w:t xml:space="preserve"> dostop do inovacij ter pravočasno in učinkovito pridobivanje novega znanja, kar jim omogoča učinkovito uvajanje inovativnih in trajnostnih rešitev ter izkoriščanje najnovejšega znanja v kmetijskem sektorju. </w:t>
      </w:r>
      <w:r w:rsidR="008F2135" w:rsidRPr="004B3B38">
        <w:rPr>
          <w:lang w:val="sl-SI"/>
        </w:rPr>
        <w:t xml:space="preserve">Prav tako morajo države članice tudi v prihodnje imeti sistem za zagotavljanje storitev kmetijskega svetovanja, ki </w:t>
      </w:r>
      <w:r w:rsidR="004C3128" w:rsidRPr="004B3B38">
        <w:rPr>
          <w:lang w:val="sl-SI"/>
        </w:rPr>
        <w:t>bo omogočal</w:t>
      </w:r>
      <w:r w:rsidR="008F2135" w:rsidRPr="004B3B38">
        <w:rPr>
          <w:lang w:val="sl-SI"/>
        </w:rPr>
        <w:t xml:space="preserve"> podporo dostopu do znanja ter širšemu uvajanju in uporabi inovacij.</w:t>
      </w:r>
      <w:r w:rsidR="004C3128" w:rsidRPr="004B3B38">
        <w:rPr>
          <w:lang w:val="sl-SI"/>
        </w:rPr>
        <w:t xml:space="preserve"> neposreden dostop do svetovalcev, na primer z zagotavljanjem javnih podatkovnih zbirk svetovalcev</w:t>
      </w:r>
      <w:r w:rsidR="004C3128" w:rsidRPr="004B3B38" w:rsidDel="00022606">
        <w:rPr>
          <w:lang w:val="sl-SI"/>
        </w:rPr>
        <w:t xml:space="preserve"> </w:t>
      </w:r>
    </w:p>
    <w:p w14:paraId="3EFB217C" w14:textId="77777777" w:rsidR="00022606" w:rsidRPr="004B3B38" w:rsidRDefault="00022606" w:rsidP="003E4978">
      <w:pPr>
        <w:spacing w:line="276" w:lineRule="auto"/>
        <w:jc w:val="both"/>
        <w:rPr>
          <w:rFonts w:cs="Arial"/>
          <w:bCs/>
          <w:szCs w:val="20"/>
          <w:lang w:val="sl-SI"/>
        </w:rPr>
      </w:pPr>
    </w:p>
    <w:p w14:paraId="537E2A20" w14:textId="45D5BA01" w:rsidR="00863796" w:rsidRPr="004B3B38" w:rsidRDefault="00022606" w:rsidP="003E4978">
      <w:pPr>
        <w:spacing w:line="276" w:lineRule="auto"/>
        <w:jc w:val="both"/>
        <w:rPr>
          <w:rFonts w:cs="Arial"/>
          <w:bCs/>
          <w:szCs w:val="20"/>
          <w:lang w:val="sl-SI"/>
        </w:rPr>
      </w:pPr>
      <w:r w:rsidRPr="004B3B38">
        <w:rPr>
          <w:rFonts w:cs="Arial"/>
          <w:bCs/>
          <w:szCs w:val="20"/>
          <w:lang w:val="sl-SI"/>
        </w:rPr>
        <w:t>Opredelitev: Slovenija</w:t>
      </w:r>
      <w:r w:rsidR="00AF17DB" w:rsidRPr="004B3B38">
        <w:rPr>
          <w:rFonts w:cs="Arial"/>
          <w:bCs/>
          <w:szCs w:val="20"/>
          <w:lang w:val="sl-SI"/>
        </w:rPr>
        <w:t xml:space="preserve"> je zadovoljna, da sistem znanja in inovacij ter kmetijsko svetovanja ostajata pomembna gradnika SKP</w:t>
      </w:r>
      <w:r w:rsidR="001503A7" w:rsidRPr="004B3B38">
        <w:rPr>
          <w:rFonts w:cs="Arial"/>
          <w:bCs/>
          <w:szCs w:val="20"/>
          <w:lang w:val="sl-SI"/>
        </w:rPr>
        <w:t>, saj so dosedanje izkušnje pokazale njihov pomen pri zagotavljanju podpornega okolja</w:t>
      </w:r>
      <w:r w:rsidR="00AF17DB" w:rsidRPr="004B3B38">
        <w:rPr>
          <w:rFonts w:cs="Arial"/>
          <w:bCs/>
          <w:szCs w:val="20"/>
          <w:lang w:val="sl-SI"/>
        </w:rPr>
        <w:t>.</w:t>
      </w:r>
      <w:r w:rsidR="001503A7" w:rsidRPr="004B3B38">
        <w:rPr>
          <w:rFonts w:cs="Arial"/>
          <w:bCs/>
          <w:szCs w:val="20"/>
          <w:lang w:val="sl-SI"/>
        </w:rPr>
        <w:t xml:space="preserve">  </w:t>
      </w:r>
    </w:p>
    <w:p w14:paraId="429E09CB" w14:textId="77777777" w:rsidR="00022606" w:rsidRPr="004B3B38" w:rsidRDefault="00022606" w:rsidP="003E4978">
      <w:pPr>
        <w:spacing w:line="276" w:lineRule="auto"/>
        <w:jc w:val="both"/>
        <w:rPr>
          <w:rFonts w:cs="Arial"/>
          <w:bCs/>
          <w:szCs w:val="20"/>
          <w:lang w:val="sl-SI"/>
        </w:rPr>
      </w:pPr>
    </w:p>
    <w:p w14:paraId="771EC68A" w14:textId="5AEBA5AA" w:rsidR="00F95A50" w:rsidRPr="004B3B38" w:rsidRDefault="00F95A50" w:rsidP="00F95A50">
      <w:pPr>
        <w:spacing w:line="276" w:lineRule="auto"/>
        <w:jc w:val="both"/>
        <w:rPr>
          <w:rFonts w:cs="Arial"/>
          <w:bCs/>
          <w:szCs w:val="20"/>
          <w:u w:val="single"/>
          <w:lang w:val="sl-SI"/>
        </w:rPr>
      </w:pPr>
      <w:r w:rsidRPr="004B3B38">
        <w:rPr>
          <w:rFonts w:cs="Arial"/>
          <w:bCs/>
          <w:szCs w:val="20"/>
          <w:u w:val="single"/>
          <w:lang w:val="sl-SI"/>
        </w:rPr>
        <w:t xml:space="preserve">Organ, pristojen za upravljanje podatkov v okviru SKP: </w:t>
      </w:r>
    </w:p>
    <w:p w14:paraId="466D72BE" w14:textId="77777777" w:rsidR="00C83D39" w:rsidRPr="004B3B38" w:rsidRDefault="00C83D39" w:rsidP="003E4978">
      <w:pPr>
        <w:spacing w:line="276" w:lineRule="auto"/>
        <w:jc w:val="both"/>
        <w:rPr>
          <w:rFonts w:cs="Arial"/>
          <w:bCs/>
          <w:szCs w:val="20"/>
          <w:lang w:val="sl-SI"/>
        </w:rPr>
      </w:pPr>
    </w:p>
    <w:p w14:paraId="43146628" w14:textId="6D9E8431" w:rsidR="005350DF" w:rsidRPr="004B3B38" w:rsidRDefault="005350DF" w:rsidP="005350DF">
      <w:pPr>
        <w:spacing w:line="276" w:lineRule="auto"/>
        <w:jc w:val="both"/>
        <w:rPr>
          <w:rFonts w:cs="Arial"/>
          <w:bCs/>
          <w:szCs w:val="20"/>
          <w:lang w:val="sl-SI"/>
        </w:rPr>
      </w:pPr>
      <w:r w:rsidRPr="004B3B38">
        <w:rPr>
          <w:rFonts w:cs="Arial"/>
          <w:bCs/>
          <w:szCs w:val="20"/>
          <w:lang w:val="sl-SI"/>
        </w:rPr>
        <w:t xml:space="preserve">Evropska komisija si prizadeva za povečanje </w:t>
      </w:r>
      <w:proofErr w:type="spellStart"/>
      <w:r w:rsidRPr="004B3B38">
        <w:rPr>
          <w:rFonts w:cs="Arial"/>
          <w:bCs/>
          <w:szCs w:val="20"/>
          <w:lang w:val="sl-SI"/>
        </w:rPr>
        <w:t>interoperabilnosti</w:t>
      </w:r>
      <w:proofErr w:type="spellEnd"/>
      <w:r w:rsidRPr="004B3B38">
        <w:rPr>
          <w:rFonts w:cs="Arial"/>
          <w:bCs/>
          <w:szCs w:val="20"/>
          <w:lang w:val="sl-SI"/>
        </w:rPr>
        <w:t xml:space="preserve"> med javnimi kmetijskimi informacijskimi sistemi na nacionalni ravni, saj lahko to prinese pomembne koristi, vključno z zmanjšanjem bremena zbiranja podatkov, večjo učinkovitostjo in izboljšanim spremljanjem politike. Zato želi vzpostaviti sistem spremljanja po načelu »zberi enkrat, uporabi večkrat«. V ta namen predlaga, da se obvezno, najpozneje tri mesece po uveljavitvi uredbe, imenuje oziroma vzpostavi enoten organ za usklajevanje prizadevanj za </w:t>
      </w:r>
      <w:proofErr w:type="spellStart"/>
      <w:r w:rsidRPr="004B3B38">
        <w:rPr>
          <w:rFonts w:cs="Arial"/>
          <w:bCs/>
          <w:szCs w:val="20"/>
          <w:lang w:val="sl-SI"/>
        </w:rPr>
        <w:t>interoperabilnost</w:t>
      </w:r>
      <w:proofErr w:type="spellEnd"/>
      <w:r w:rsidRPr="004B3B38">
        <w:rPr>
          <w:rFonts w:cs="Arial"/>
          <w:bCs/>
          <w:szCs w:val="20"/>
          <w:lang w:val="sl-SI"/>
        </w:rPr>
        <w:t xml:space="preserve"> ter vzpostavi edinstvene identifikacijske oznake kmetijskih gospodarstev oziroma EU denarnico za identiteto iz Uredbe (EU) št. 910/2014 Evropskega parlamenta in Sveta. Gre za pomembno novost. Pristojni organ bo moral pripraviti načrt dela in vsako leto Evropski komisiji posredovati letno poročilo, pri čemer bo prvo poročilo posredovano decembra 2029.</w:t>
      </w:r>
    </w:p>
    <w:p w14:paraId="009FE075" w14:textId="77777777" w:rsidR="005350DF" w:rsidRPr="004B3B38" w:rsidRDefault="005350DF" w:rsidP="005350DF">
      <w:pPr>
        <w:spacing w:line="276" w:lineRule="auto"/>
        <w:jc w:val="both"/>
        <w:rPr>
          <w:rFonts w:cs="Arial"/>
          <w:bCs/>
          <w:szCs w:val="20"/>
          <w:lang w:val="sl-SI"/>
        </w:rPr>
      </w:pPr>
    </w:p>
    <w:p w14:paraId="2192A564" w14:textId="250ADE3B" w:rsidR="008A17A6" w:rsidRPr="004B3B38" w:rsidRDefault="005350DF" w:rsidP="005350DF">
      <w:pPr>
        <w:spacing w:line="276" w:lineRule="auto"/>
        <w:jc w:val="both"/>
        <w:rPr>
          <w:rFonts w:cs="Arial"/>
          <w:bCs/>
          <w:szCs w:val="20"/>
          <w:lang w:val="sl-SI"/>
        </w:rPr>
      </w:pPr>
      <w:r w:rsidRPr="004B3B38">
        <w:rPr>
          <w:rFonts w:cs="Arial"/>
          <w:bCs/>
          <w:szCs w:val="20"/>
          <w:lang w:val="sl-SI"/>
        </w:rPr>
        <w:t xml:space="preserve">Opredelitev: Slovenija podpira digitalizacijo, učinkovito upravljanje ter večnamensko uporabo podatkov na področju SKP. </w:t>
      </w:r>
    </w:p>
    <w:p w14:paraId="52066141" w14:textId="77777777" w:rsidR="005350DF" w:rsidRPr="004B3B38" w:rsidRDefault="005350DF" w:rsidP="005350DF">
      <w:pPr>
        <w:spacing w:line="276" w:lineRule="auto"/>
        <w:jc w:val="both"/>
        <w:rPr>
          <w:rFonts w:cs="Arial"/>
          <w:bCs/>
          <w:szCs w:val="20"/>
          <w:lang w:val="sl-SI"/>
        </w:rPr>
      </w:pPr>
    </w:p>
    <w:p w14:paraId="65A2DF56" w14:textId="59F2C320" w:rsidR="00CC44A7" w:rsidRPr="004B3B38" w:rsidRDefault="00A52012" w:rsidP="003E4978">
      <w:pPr>
        <w:spacing w:line="276" w:lineRule="auto"/>
        <w:jc w:val="both"/>
        <w:rPr>
          <w:rFonts w:cs="Arial"/>
          <w:bCs/>
          <w:szCs w:val="20"/>
          <w:u w:val="single"/>
          <w:lang w:val="sl-SI"/>
        </w:rPr>
      </w:pPr>
      <w:r w:rsidRPr="004B3B38">
        <w:rPr>
          <w:rFonts w:cs="Arial"/>
          <w:bCs/>
          <w:szCs w:val="20"/>
          <w:u w:val="single"/>
          <w:lang w:val="sl-SI"/>
        </w:rPr>
        <w:t xml:space="preserve">Pooblastila </w:t>
      </w:r>
      <w:r w:rsidR="00C83D39" w:rsidRPr="004B3B38">
        <w:rPr>
          <w:rFonts w:cs="Arial"/>
          <w:bCs/>
          <w:szCs w:val="20"/>
          <w:u w:val="single"/>
          <w:lang w:val="sl-SI"/>
        </w:rPr>
        <w:t xml:space="preserve">Evropski komisiji </w:t>
      </w:r>
    </w:p>
    <w:p w14:paraId="6AD25009" w14:textId="77777777" w:rsidR="00C83D39" w:rsidRPr="004B3B38" w:rsidRDefault="00C83D39" w:rsidP="003E4978">
      <w:pPr>
        <w:spacing w:line="276" w:lineRule="auto"/>
        <w:jc w:val="both"/>
        <w:rPr>
          <w:rFonts w:cs="Arial"/>
          <w:bCs/>
          <w:szCs w:val="20"/>
          <w:lang w:val="sl-SI"/>
        </w:rPr>
      </w:pPr>
    </w:p>
    <w:p w14:paraId="2149E98D" w14:textId="477EE3E6" w:rsidR="00087A0A" w:rsidRPr="004B3B38" w:rsidRDefault="00087A0A" w:rsidP="00087A0A">
      <w:pPr>
        <w:spacing w:line="276" w:lineRule="auto"/>
        <w:jc w:val="both"/>
        <w:rPr>
          <w:rFonts w:cs="Arial"/>
          <w:bCs/>
          <w:szCs w:val="20"/>
          <w:lang w:val="sl-SI"/>
        </w:rPr>
      </w:pPr>
      <w:r w:rsidRPr="004B3B38">
        <w:rPr>
          <w:rFonts w:cs="Arial"/>
          <w:bCs/>
          <w:szCs w:val="20"/>
          <w:lang w:val="sl-SI"/>
        </w:rPr>
        <w:t xml:space="preserve">Pooblastilo Evropski komisiji za </w:t>
      </w:r>
      <w:r w:rsidRPr="004B3B38">
        <w:rPr>
          <w:lang w:val="sl-SI"/>
        </w:rPr>
        <w:t>izvedbene</w:t>
      </w:r>
      <w:r w:rsidRPr="004B3B38">
        <w:rPr>
          <w:rFonts w:cs="Arial"/>
          <w:bCs/>
          <w:szCs w:val="20"/>
          <w:lang w:val="sl-SI"/>
        </w:rPr>
        <w:t xml:space="preserve"> akte je predlagano:</w:t>
      </w:r>
    </w:p>
    <w:p w14:paraId="0AA28F6A" w14:textId="7E7DC1FA" w:rsidR="00087A0A" w:rsidRPr="004B3B38" w:rsidRDefault="00087A0A" w:rsidP="00087A0A">
      <w:pPr>
        <w:spacing w:line="276" w:lineRule="auto"/>
        <w:jc w:val="both"/>
        <w:rPr>
          <w:rFonts w:cs="Arial"/>
          <w:bCs/>
          <w:szCs w:val="20"/>
          <w:lang w:val="sl-SI"/>
        </w:rPr>
      </w:pPr>
      <w:r w:rsidRPr="004B3B38">
        <w:rPr>
          <w:rFonts w:cs="Arial"/>
          <w:bCs/>
          <w:szCs w:val="20"/>
          <w:lang w:val="sl-SI"/>
        </w:rPr>
        <w:lastRenderedPageBreak/>
        <w:t xml:space="preserve">– za področje izvajanja </w:t>
      </w:r>
      <w:proofErr w:type="spellStart"/>
      <w:r w:rsidRPr="004B3B38">
        <w:rPr>
          <w:rFonts w:cs="Arial"/>
          <w:bCs/>
          <w:szCs w:val="20"/>
          <w:lang w:val="sl-SI"/>
        </w:rPr>
        <w:t>interoperabilnosti</w:t>
      </w:r>
      <w:proofErr w:type="spellEnd"/>
      <w:r w:rsidRPr="004B3B38">
        <w:rPr>
          <w:rFonts w:cs="Arial"/>
          <w:bCs/>
          <w:szCs w:val="20"/>
          <w:lang w:val="sl-SI"/>
        </w:rPr>
        <w:t xml:space="preserve"> in nemotene izmenjave podatkov med informacijskimi sistemi, ki se uporabljajo za izvajanje, spremljanje in ocenjevanje SKP;</w:t>
      </w:r>
    </w:p>
    <w:p w14:paraId="401BE667" w14:textId="2E86BC7E" w:rsidR="00087A0A" w:rsidRPr="004B3B38" w:rsidRDefault="00087A0A" w:rsidP="00087A0A">
      <w:pPr>
        <w:spacing w:line="276" w:lineRule="auto"/>
        <w:jc w:val="both"/>
        <w:rPr>
          <w:rFonts w:cs="Arial"/>
          <w:bCs/>
          <w:szCs w:val="20"/>
          <w:lang w:val="sl-SI"/>
        </w:rPr>
      </w:pPr>
      <w:r w:rsidRPr="004B3B38">
        <w:rPr>
          <w:rFonts w:cs="Arial"/>
          <w:bCs/>
          <w:szCs w:val="20"/>
          <w:lang w:val="sl-SI"/>
        </w:rPr>
        <w:t>– za sprejem ukrepov, ki se začnejo takoj uporabljati, kadar je to potrebno v ustrezno utemeljenih primerih, zlasti za reševanje specifičnih problemov ob zagotavljanju neprekinjene dohodkovne podpore v izjemnih okoliščinah;</w:t>
      </w:r>
    </w:p>
    <w:p w14:paraId="2DB28A21" w14:textId="01FA0B4A" w:rsidR="00087A0A" w:rsidRPr="004B3B38" w:rsidRDefault="00087A0A" w:rsidP="00087A0A">
      <w:pPr>
        <w:spacing w:line="276" w:lineRule="auto"/>
        <w:jc w:val="both"/>
        <w:rPr>
          <w:rFonts w:cs="Arial"/>
          <w:bCs/>
          <w:szCs w:val="20"/>
          <w:lang w:val="sl-SI"/>
        </w:rPr>
      </w:pPr>
      <w:r w:rsidRPr="004B3B38">
        <w:rPr>
          <w:rFonts w:cs="Arial"/>
          <w:bCs/>
          <w:szCs w:val="20"/>
          <w:lang w:val="sl-SI"/>
        </w:rPr>
        <w:t xml:space="preserve">– kadar izredne okoliščine, utemeljene v posameznih primerih, vplivajo na odobritev podpore in ogrožajo učinkovito izvajanje intervencij iz te uredbe. Slednje </w:t>
      </w:r>
      <w:r w:rsidRPr="004B3B38">
        <w:rPr>
          <w:lang w:val="sl-SI"/>
        </w:rPr>
        <w:t>ni novost</w:t>
      </w:r>
      <w:r w:rsidRPr="004B3B38">
        <w:rPr>
          <w:rFonts w:cs="Arial"/>
          <w:bCs/>
          <w:szCs w:val="20"/>
          <w:lang w:val="sl-SI"/>
        </w:rPr>
        <w:t xml:space="preserve"> in omogoča hiter odziv.</w:t>
      </w:r>
    </w:p>
    <w:p w14:paraId="3569CD3C" w14:textId="77777777" w:rsidR="00087A0A" w:rsidRPr="004B3B38" w:rsidRDefault="00087A0A" w:rsidP="00087A0A">
      <w:pPr>
        <w:spacing w:line="276" w:lineRule="auto"/>
        <w:jc w:val="both"/>
        <w:rPr>
          <w:rFonts w:cs="Arial"/>
          <w:bCs/>
          <w:szCs w:val="20"/>
          <w:lang w:val="sl-SI"/>
        </w:rPr>
      </w:pPr>
    </w:p>
    <w:p w14:paraId="36F347F2" w14:textId="7A047AAD" w:rsidR="00087A0A" w:rsidRPr="004B3B38" w:rsidRDefault="00087A0A" w:rsidP="00087A0A">
      <w:pPr>
        <w:spacing w:line="276" w:lineRule="auto"/>
        <w:jc w:val="both"/>
        <w:rPr>
          <w:rFonts w:cs="Arial"/>
          <w:bCs/>
          <w:szCs w:val="20"/>
          <w:lang w:val="sl-SI"/>
        </w:rPr>
      </w:pPr>
      <w:r w:rsidRPr="004B3B38">
        <w:rPr>
          <w:rFonts w:cs="Arial"/>
          <w:bCs/>
          <w:szCs w:val="20"/>
          <w:lang w:val="sl-SI"/>
        </w:rPr>
        <w:t xml:space="preserve">Predlagano je tudi pooblastilo za delegirane akte, ki dopolnjujejo uredbo z ukrepi za zagotavljanje, da države članice izvajajo </w:t>
      </w:r>
      <w:proofErr w:type="spellStart"/>
      <w:r w:rsidRPr="004B3B38">
        <w:rPr>
          <w:rFonts w:cs="Arial"/>
          <w:bCs/>
          <w:szCs w:val="20"/>
          <w:lang w:val="sl-SI"/>
        </w:rPr>
        <w:t>interoperabilnost</w:t>
      </w:r>
      <w:proofErr w:type="spellEnd"/>
      <w:r w:rsidRPr="004B3B38">
        <w:rPr>
          <w:rFonts w:cs="Arial"/>
          <w:bCs/>
          <w:szCs w:val="20"/>
          <w:lang w:val="sl-SI"/>
        </w:rPr>
        <w:t xml:space="preserve"> in nemoteno izmenjavo podatkov med informacijskimi sistemi, ki se uporabljajo za izvajanje, spremljanje in ocenjevanje SKP.</w:t>
      </w:r>
    </w:p>
    <w:p w14:paraId="2E1BDDE4" w14:textId="77777777" w:rsidR="00087A0A" w:rsidRPr="004B3B38" w:rsidRDefault="00087A0A" w:rsidP="00087A0A">
      <w:pPr>
        <w:spacing w:line="276" w:lineRule="auto"/>
        <w:jc w:val="both"/>
        <w:rPr>
          <w:rFonts w:cs="Arial"/>
          <w:bCs/>
          <w:szCs w:val="20"/>
          <w:lang w:val="sl-SI"/>
        </w:rPr>
      </w:pPr>
    </w:p>
    <w:p w14:paraId="5F3B8548" w14:textId="1AC79C9A" w:rsidR="00CC44A7" w:rsidRPr="004B3B38" w:rsidRDefault="00087A0A" w:rsidP="00087A0A">
      <w:pPr>
        <w:spacing w:line="276" w:lineRule="auto"/>
        <w:jc w:val="both"/>
        <w:rPr>
          <w:rFonts w:cs="Arial"/>
          <w:bCs/>
          <w:szCs w:val="20"/>
          <w:lang w:val="sl-SI"/>
        </w:rPr>
      </w:pPr>
      <w:r w:rsidRPr="004B3B38">
        <w:rPr>
          <w:rFonts w:cs="Arial"/>
          <w:bCs/>
          <w:szCs w:val="20"/>
          <w:lang w:val="sl-SI"/>
        </w:rPr>
        <w:t>Opredelitev: Slovenija načeloma podpira določbe v zvezi s pooblastili za izvedbene in delegirane akte, pri čemer daje prednost urejanju tehničnih vidikov elementov iz osnovne uredbe v obliki izvedbenih aktov.</w:t>
      </w:r>
    </w:p>
    <w:bookmarkEnd w:id="1"/>
    <w:p w14:paraId="4F48FEC2" w14:textId="77777777" w:rsidR="00087A0A" w:rsidRPr="004B3B38" w:rsidRDefault="00087A0A" w:rsidP="00087A0A">
      <w:pPr>
        <w:spacing w:line="276" w:lineRule="auto"/>
        <w:jc w:val="both"/>
        <w:rPr>
          <w:rFonts w:cs="Arial"/>
          <w:bCs/>
          <w:szCs w:val="20"/>
          <w:lang w:val="sl-SI"/>
        </w:rPr>
      </w:pPr>
    </w:p>
    <w:p w14:paraId="41818EE1" w14:textId="1A27033D" w:rsidR="007F0EC3" w:rsidRPr="004B3B38" w:rsidRDefault="007F0EC3" w:rsidP="000F6AE0">
      <w:pPr>
        <w:spacing w:before="20" w:after="20"/>
        <w:jc w:val="both"/>
        <w:rPr>
          <w:rFonts w:cs="Arial"/>
          <w:szCs w:val="20"/>
          <w:lang w:val="sl-SI"/>
        </w:rPr>
      </w:pPr>
    </w:p>
    <w:sectPr w:rsidR="007F0EC3" w:rsidRPr="004B3B38" w:rsidSect="003138A3">
      <w:headerReference w:type="default" r:id="rId10"/>
      <w:headerReference w:type="first" r:id="rId11"/>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FC82D" w14:textId="77777777" w:rsidR="002E6086" w:rsidRDefault="002E6086">
      <w:pPr>
        <w:spacing w:line="240" w:lineRule="auto"/>
      </w:pPr>
      <w:r>
        <w:separator/>
      </w:r>
    </w:p>
  </w:endnote>
  <w:endnote w:type="continuationSeparator" w:id="0">
    <w:p w14:paraId="09676541" w14:textId="77777777" w:rsidR="002E6086" w:rsidRDefault="002E6086">
      <w:pPr>
        <w:spacing w:line="240" w:lineRule="auto"/>
      </w:pPr>
      <w:r>
        <w:continuationSeparator/>
      </w:r>
    </w:p>
  </w:endnote>
  <w:endnote w:type="continuationNotice" w:id="1">
    <w:p w14:paraId="5BBC4702" w14:textId="77777777" w:rsidR="002E6086" w:rsidRDefault="002E60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altName w:val="Times New Roman PS"/>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default"/>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37E48" w14:textId="77777777" w:rsidR="002E6086" w:rsidRDefault="002E6086">
      <w:pPr>
        <w:spacing w:line="240" w:lineRule="auto"/>
      </w:pPr>
      <w:r>
        <w:separator/>
      </w:r>
    </w:p>
  </w:footnote>
  <w:footnote w:type="continuationSeparator" w:id="0">
    <w:p w14:paraId="4527D753" w14:textId="77777777" w:rsidR="002E6086" w:rsidRDefault="002E6086">
      <w:pPr>
        <w:spacing w:line="240" w:lineRule="auto"/>
      </w:pPr>
      <w:r>
        <w:continuationSeparator/>
      </w:r>
    </w:p>
  </w:footnote>
  <w:footnote w:type="continuationNotice" w:id="1">
    <w:p w14:paraId="51A8C80D" w14:textId="77777777" w:rsidR="002E6086" w:rsidRDefault="002E60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FB4A" w14:textId="77777777" w:rsidR="003138A3" w:rsidRPr="00110CBD" w:rsidRDefault="003138A3" w:rsidP="003138A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06"/>
    </w:tblGrid>
    <w:tr w:rsidR="003138A3" w:rsidRPr="008F3500" w14:paraId="3A92008E" w14:textId="77777777">
      <w:trPr>
        <w:cantSplit/>
        <w:trHeight w:hRule="exact" w:val="847"/>
      </w:trPr>
      <w:tc>
        <w:tcPr>
          <w:tcW w:w="567" w:type="dxa"/>
        </w:tcPr>
        <w:p w14:paraId="2D4C80E4" w14:textId="77777777" w:rsidR="003138A3" w:rsidRPr="00963ADE" w:rsidRDefault="003138A3" w:rsidP="003138A3">
          <w:pPr>
            <w:autoSpaceDE w:val="0"/>
            <w:autoSpaceDN w:val="0"/>
            <w:adjustRightInd w:val="0"/>
            <w:spacing w:before="100" w:line="240" w:lineRule="auto"/>
            <w:rPr>
              <w:rFonts w:ascii="Republika" w:hAnsi="Republika"/>
              <w:sz w:val="18"/>
              <w:szCs w:val="60"/>
              <w:lang w:val="sl-SI"/>
            </w:rPr>
          </w:pPr>
          <w:r w:rsidRPr="00963ADE">
            <w:rPr>
              <w:noProof/>
              <w:lang w:val="sl-SI" w:eastAsia="ko-KR" w:bidi="mn-Mong-MN"/>
            </w:rPr>
            <w:drawing>
              <wp:inline distT="0" distB="0" distL="0" distR="0" wp14:anchorId="21F3A0F2" wp14:editId="1A7238A9">
                <wp:extent cx="247650" cy="295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inline>
            </w:drawing>
          </w:r>
        </w:p>
        <w:p w14:paraId="6AF96831" w14:textId="77777777" w:rsidR="003138A3" w:rsidRPr="006D42D9" w:rsidRDefault="003138A3" w:rsidP="003138A3">
          <w:pPr>
            <w:autoSpaceDE w:val="0"/>
            <w:autoSpaceDN w:val="0"/>
            <w:adjustRightInd w:val="0"/>
            <w:spacing w:line="240" w:lineRule="auto"/>
            <w:rPr>
              <w:rFonts w:ascii="Republika" w:hAnsi="Republika"/>
              <w:sz w:val="60"/>
              <w:szCs w:val="60"/>
              <w:lang w:val="sl-SI"/>
            </w:rPr>
          </w:pPr>
        </w:p>
        <w:p w14:paraId="7D1F16EF" w14:textId="77777777" w:rsidR="003138A3" w:rsidRPr="006D42D9" w:rsidRDefault="003138A3" w:rsidP="003138A3">
          <w:pPr>
            <w:rPr>
              <w:rFonts w:ascii="Republika" w:hAnsi="Republika"/>
              <w:sz w:val="60"/>
              <w:szCs w:val="60"/>
              <w:lang w:val="sl-SI"/>
            </w:rPr>
          </w:pPr>
        </w:p>
        <w:p w14:paraId="2CBFC7D6" w14:textId="77777777" w:rsidR="003138A3" w:rsidRPr="006D42D9" w:rsidRDefault="003138A3" w:rsidP="003138A3">
          <w:pPr>
            <w:rPr>
              <w:rFonts w:ascii="Republika" w:hAnsi="Republika"/>
              <w:sz w:val="60"/>
              <w:szCs w:val="60"/>
              <w:lang w:val="sl-SI"/>
            </w:rPr>
          </w:pPr>
        </w:p>
        <w:p w14:paraId="54621DB4" w14:textId="77777777" w:rsidR="003138A3" w:rsidRPr="006D42D9" w:rsidRDefault="003138A3" w:rsidP="003138A3">
          <w:pPr>
            <w:rPr>
              <w:rFonts w:ascii="Republika" w:hAnsi="Republika"/>
              <w:sz w:val="60"/>
              <w:szCs w:val="60"/>
              <w:lang w:val="sl-SI"/>
            </w:rPr>
          </w:pPr>
        </w:p>
        <w:p w14:paraId="531A6EBC" w14:textId="77777777" w:rsidR="003138A3" w:rsidRPr="006D42D9" w:rsidRDefault="003138A3" w:rsidP="003138A3">
          <w:pPr>
            <w:rPr>
              <w:rFonts w:ascii="Republika" w:hAnsi="Republika"/>
              <w:sz w:val="60"/>
              <w:szCs w:val="60"/>
              <w:lang w:val="sl-SI"/>
            </w:rPr>
          </w:pPr>
        </w:p>
        <w:p w14:paraId="3817152A" w14:textId="77777777" w:rsidR="003138A3" w:rsidRPr="006D42D9" w:rsidRDefault="003138A3" w:rsidP="003138A3">
          <w:pPr>
            <w:rPr>
              <w:rFonts w:ascii="Republika" w:hAnsi="Republika"/>
              <w:sz w:val="60"/>
              <w:szCs w:val="60"/>
              <w:lang w:val="sl-SI"/>
            </w:rPr>
          </w:pPr>
        </w:p>
        <w:p w14:paraId="6893B131" w14:textId="77777777" w:rsidR="003138A3" w:rsidRPr="006D42D9" w:rsidRDefault="003138A3" w:rsidP="003138A3">
          <w:pPr>
            <w:rPr>
              <w:rFonts w:ascii="Republika" w:hAnsi="Republika"/>
              <w:sz w:val="60"/>
              <w:szCs w:val="60"/>
              <w:lang w:val="sl-SI"/>
            </w:rPr>
          </w:pPr>
        </w:p>
        <w:p w14:paraId="050182D7" w14:textId="77777777" w:rsidR="003138A3" w:rsidRPr="006D42D9" w:rsidRDefault="003138A3" w:rsidP="003138A3">
          <w:pPr>
            <w:rPr>
              <w:rFonts w:ascii="Republika" w:hAnsi="Republika"/>
              <w:sz w:val="60"/>
              <w:szCs w:val="60"/>
              <w:lang w:val="sl-SI"/>
            </w:rPr>
          </w:pPr>
        </w:p>
        <w:p w14:paraId="26052402" w14:textId="77777777" w:rsidR="003138A3" w:rsidRPr="006D42D9" w:rsidRDefault="003138A3" w:rsidP="003138A3">
          <w:pPr>
            <w:rPr>
              <w:rFonts w:ascii="Republika" w:hAnsi="Republika"/>
              <w:sz w:val="60"/>
              <w:szCs w:val="60"/>
              <w:lang w:val="sl-SI"/>
            </w:rPr>
          </w:pPr>
        </w:p>
        <w:p w14:paraId="2E433985" w14:textId="77777777" w:rsidR="003138A3" w:rsidRPr="006D42D9" w:rsidRDefault="003138A3" w:rsidP="003138A3">
          <w:pPr>
            <w:rPr>
              <w:rFonts w:ascii="Republika" w:hAnsi="Republika"/>
              <w:sz w:val="60"/>
              <w:szCs w:val="60"/>
              <w:lang w:val="sl-SI"/>
            </w:rPr>
          </w:pPr>
        </w:p>
        <w:p w14:paraId="64026028" w14:textId="77777777" w:rsidR="003138A3" w:rsidRPr="006D42D9" w:rsidRDefault="003138A3" w:rsidP="003138A3">
          <w:pPr>
            <w:rPr>
              <w:rFonts w:ascii="Republika" w:hAnsi="Republika"/>
              <w:sz w:val="60"/>
              <w:szCs w:val="60"/>
              <w:lang w:val="sl-SI"/>
            </w:rPr>
          </w:pPr>
        </w:p>
        <w:p w14:paraId="4A2FCB40" w14:textId="77777777" w:rsidR="003138A3" w:rsidRPr="006D42D9" w:rsidRDefault="003138A3" w:rsidP="003138A3">
          <w:pPr>
            <w:rPr>
              <w:rFonts w:ascii="Republika" w:hAnsi="Republika"/>
              <w:sz w:val="60"/>
              <w:szCs w:val="60"/>
              <w:lang w:val="sl-SI"/>
            </w:rPr>
          </w:pPr>
        </w:p>
        <w:p w14:paraId="26954598" w14:textId="77777777" w:rsidR="003138A3" w:rsidRPr="006D42D9" w:rsidRDefault="003138A3" w:rsidP="003138A3">
          <w:pPr>
            <w:rPr>
              <w:rFonts w:ascii="Republika" w:hAnsi="Republika"/>
              <w:sz w:val="60"/>
              <w:szCs w:val="60"/>
              <w:lang w:val="sl-SI"/>
            </w:rPr>
          </w:pPr>
        </w:p>
        <w:p w14:paraId="479BAEE9" w14:textId="77777777" w:rsidR="003138A3" w:rsidRPr="006D42D9" w:rsidRDefault="003138A3" w:rsidP="003138A3">
          <w:pPr>
            <w:rPr>
              <w:rFonts w:ascii="Republika" w:hAnsi="Republika"/>
              <w:sz w:val="60"/>
              <w:szCs w:val="60"/>
              <w:lang w:val="sl-SI"/>
            </w:rPr>
          </w:pPr>
        </w:p>
      </w:tc>
    </w:tr>
  </w:tbl>
  <w:p w14:paraId="0E2C0E3F" w14:textId="77777777" w:rsidR="003138A3" w:rsidRPr="008F3500" w:rsidRDefault="003138A3" w:rsidP="003138A3">
    <w:pPr>
      <w:autoSpaceDE w:val="0"/>
      <w:autoSpaceDN w:val="0"/>
      <w:adjustRightInd w:val="0"/>
      <w:spacing w:line="240" w:lineRule="auto"/>
      <w:rPr>
        <w:rFonts w:ascii="Republika" w:hAnsi="Republika"/>
        <w:lang w:val="sl-SI"/>
      </w:rPr>
    </w:pPr>
    <w:r w:rsidRPr="008F3500">
      <w:rPr>
        <w:noProof/>
        <w:szCs w:val="20"/>
        <w:lang w:val="sl-SI" w:eastAsia="ko-KR" w:bidi="mn-Mong-MN"/>
      </w:rPr>
      <mc:AlternateContent>
        <mc:Choice Requires="wps">
          <w:drawing>
            <wp:anchor distT="0" distB="0" distL="114300" distR="114300" simplePos="0" relativeHeight="251659264" behindDoc="1" locked="0" layoutInCell="0" allowOverlap="1" wp14:anchorId="2AF46F95" wp14:editId="7E6965D7">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F89C4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fvFAIAACcEAAAOAAAAZHJzL2Uyb0RvYy54bWysU12vGiEQfW/S/0B41/24q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TKf5Ol8ghEdXAkphzxjnf/EdYeCUWEJlCMuOW2dDzxIOYSEZ5TeCCnj&#10;rKVCfYWnT5M0JjgtBQvOEObsYb+SFp0IqKXIZ/l8HosCz2OY1UfFIljLCVvfbE+EvNrwuFQBDyoB&#10;OjfrKocf83S+nq1nxajIp+tRkdb16ONmVYymm+zDpH6qV6s6+xmoZUXZCsa4CuwGaWbF343+9kmu&#10;orqL896G5C167BeQHfZIOo4yTO+qg71ml50dRgxqjMG3nxPk/ngG+/F/L38B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Oqzfv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4B2B4560" w14:textId="77777777" w:rsidR="003138A3" w:rsidRPr="006D3DFE" w:rsidRDefault="003138A3" w:rsidP="003138A3">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KMETIJSTVO, GOZDARSTVO IN PREHRANO</w:t>
    </w:r>
  </w:p>
  <w:p w14:paraId="56116072" w14:textId="77777777" w:rsidR="003138A3" w:rsidRPr="008F3500" w:rsidRDefault="003138A3" w:rsidP="003138A3">
    <w:pPr>
      <w:pStyle w:val="Glava"/>
      <w:tabs>
        <w:tab w:val="clear" w:pos="4320"/>
        <w:tab w:val="clear" w:pos="8640"/>
        <w:tab w:val="left" w:pos="5112"/>
      </w:tabs>
      <w:spacing w:before="240" w:line="240" w:lineRule="exact"/>
      <w:rPr>
        <w:rFonts w:cs="Arial"/>
        <w:sz w:val="16"/>
        <w:lang w:val="sl-SI"/>
      </w:rPr>
    </w:pPr>
    <w:r>
      <w:rPr>
        <w:rFonts w:cs="Arial"/>
        <w:sz w:val="16"/>
        <w:lang w:val="sl-SI"/>
      </w:rPr>
      <w:t>Dunajska cesta 22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01 478 9000</w:t>
    </w:r>
  </w:p>
  <w:p w14:paraId="6F171538" w14:textId="77777777" w:rsidR="003138A3" w:rsidRPr="008F3500" w:rsidRDefault="003138A3" w:rsidP="003138A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gp.mkgp@gov.si</w:t>
    </w:r>
  </w:p>
  <w:p w14:paraId="63960AF0" w14:textId="77777777" w:rsidR="003138A3" w:rsidRPr="008F3500" w:rsidRDefault="003138A3" w:rsidP="003138A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www.mkgp.gov.si</w:t>
    </w:r>
  </w:p>
  <w:p w14:paraId="0E2E944C" w14:textId="77777777" w:rsidR="003138A3" w:rsidRPr="008F3500" w:rsidRDefault="003138A3" w:rsidP="003138A3">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141D"/>
    <w:multiLevelType w:val="hybridMultilevel"/>
    <w:tmpl w:val="538CA330"/>
    <w:lvl w:ilvl="0" w:tplc="832CA3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DA0CA0"/>
    <w:multiLevelType w:val="hybridMultilevel"/>
    <w:tmpl w:val="889672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0B3724"/>
    <w:multiLevelType w:val="hybridMultilevel"/>
    <w:tmpl w:val="AC4A4572"/>
    <w:lvl w:ilvl="0" w:tplc="48D0A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A31FE"/>
    <w:multiLevelType w:val="hybridMultilevel"/>
    <w:tmpl w:val="DBDE66A0"/>
    <w:lvl w:ilvl="0" w:tplc="D33E7794">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685212"/>
    <w:multiLevelType w:val="hybridMultilevel"/>
    <w:tmpl w:val="5886771A"/>
    <w:lvl w:ilvl="0" w:tplc="7DCECA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6C3EDB"/>
    <w:multiLevelType w:val="hybridMultilevel"/>
    <w:tmpl w:val="8BFE0FFC"/>
    <w:lvl w:ilvl="0" w:tplc="F858F690">
      <w:start w:val="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184701"/>
    <w:multiLevelType w:val="hybridMultilevel"/>
    <w:tmpl w:val="2C10DC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731EE"/>
    <w:multiLevelType w:val="hybridMultilevel"/>
    <w:tmpl w:val="52EA4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073D11"/>
    <w:multiLevelType w:val="multilevel"/>
    <w:tmpl w:val="D7FEE8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50" w:hanging="57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F63AE1"/>
    <w:multiLevelType w:val="hybridMultilevel"/>
    <w:tmpl w:val="343650E0"/>
    <w:lvl w:ilvl="0" w:tplc="1F8EEC84">
      <w:start w:val="2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0" w15:restartNumberingAfterBreak="0">
    <w:nsid w:val="5CF604C4"/>
    <w:multiLevelType w:val="multilevel"/>
    <w:tmpl w:val="202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6868FB"/>
    <w:multiLevelType w:val="hybridMultilevel"/>
    <w:tmpl w:val="1DDC0CB2"/>
    <w:lvl w:ilvl="0" w:tplc="1FD8F0E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15A2F"/>
    <w:multiLevelType w:val="hybridMultilevel"/>
    <w:tmpl w:val="317CB0F2"/>
    <w:lvl w:ilvl="0" w:tplc="5F5CB0C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1"/>
  </w:num>
  <w:num w:numId="5">
    <w:abstractNumId w:val="1"/>
  </w:num>
  <w:num w:numId="6">
    <w:abstractNumId w:val="3"/>
  </w:num>
  <w:num w:numId="7">
    <w:abstractNumId w:val="9"/>
  </w:num>
  <w:num w:numId="8">
    <w:abstractNumId w:val="12"/>
  </w:num>
  <w:num w:numId="9">
    <w:abstractNumId w:val="6"/>
  </w:num>
  <w:num w:numId="10">
    <w:abstractNumId w:val="8"/>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17"/>
    <w:rsid w:val="000126DD"/>
    <w:rsid w:val="000177AC"/>
    <w:rsid w:val="00022606"/>
    <w:rsid w:val="000254B3"/>
    <w:rsid w:val="00025D10"/>
    <w:rsid w:val="00033D64"/>
    <w:rsid w:val="00036BB7"/>
    <w:rsid w:val="00037265"/>
    <w:rsid w:val="00040732"/>
    <w:rsid w:val="00047029"/>
    <w:rsid w:val="0005292C"/>
    <w:rsid w:val="0007172B"/>
    <w:rsid w:val="0007189F"/>
    <w:rsid w:val="000855C2"/>
    <w:rsid w:val="000869CD"/>
    <w:rsid w:val="00087A0A"/>
    <w:rsid w:val="00093558"/>
    <w:rsid w:val="00095BDE"/>
    <w:rsid w:val="000A0BA2"/>
    <w:rsid w:val="000A1F56"/>
    <w:rsid w:val="000B5FE6"/>
    <w:rsid w:val="000C040B"/>
    <w:rsid w:val="000C30CB"/>
    <w:rsid w:val="000D3B89"/>
    <w:rsid w:val="000E04D7"/>
    <w:rsid w:val="000E3BED"/>
    <w:rsid w:val="000F28A2"/>
    <w:rsid w:val="000F4E71"/>
    <w:rsid w:val="000F6AE0"/>
    <w:rsid w:val="00106423"/>
    <w:rsid w:val="00114F00"/>
    <w:rsid w:val="00115291"/>
    <w:rsid w:val="00121217"/>
    <w:rsid w:val="0012794A"/>
    <w:rsid w:val="00137DB4"/>
    <w:rsid w:val="00146A1F"/>
    <w:rsid w:val="00146CCD"/>
    <w:rsid w:val="001503A7"/>
    <w:rsid w:val="00151B84"/>
    <w:rsid w:val="00155A0C"/>
    <w:rsid w:val="00162A6D"/>
    <w:rsid w:val="0017223B"/>
    <w:rsid w:val="00172C77"/>
    <w:rsid w:val="00180681"/>
    <w:rsid w:val="00180D5E"/>
    <w:rsid w:val="001849F1"/>
    <w:rsid w:val="0018596B"/>
    <w:rsid w:val="00195290"/>
    <w:rsid w:val="00197657"/>
    <w:rsid w:val="001C3517"/>
    <w:rsid w:val="001E064D"/>
    <w:rsid w:val="001E18EF"/>
    <w:rsid w:val="001F61C7"/>
    <w:rsid w:val="0020709B"/>
    <w:rsid w:val="00211118"/>
    <w:rsid w:val="0021211D"/>
    <w:rsid w:val="00217D3C"/>
    <w:rsid w:val="00226388"/>
    <w:rsid w:val="00254470"/>
    <w:rsid w:val="002545C2"/>
    <w:rsid w:val="00260953"/>
    <w:rsid w:val="00260D04"/>
    <w:rsid w:val="00261683"/>
    <w:rsid w:val="00276F81"/>
    <w:rsid w:val="00281A2B"/>
    <w:rsid w:val="00297A75"/>
    <w:rsid w:val="00297B7F"/>
    <w:rsid w:val="002A52A3"/>
    <w:rsid w:val="002B238D"/>
    <w:rsid w:val="002B567C"/>
    <w:rsid w:val="002C2879"/>
    <w:rsid w:val="002C28CE"/>
    <w:rsid w:val="002C3DA3"/>
    <w:rsid w:val="002D6F2A"/>
    <w:rsid w:val="002E191E"/>
    <w:rsid w:val="002E24C9"/>
    <w:rsid w:val="002E6086"/>
    <w:rsid w:val="002E7A30"/>
    <w:rsid w:val="002F1BB0"/>
    <w:rsid w:val="002F2A7B"/>
    <w:rsid w:val="003038E0"/>
    <w:rsid w:val="00304E84"/>
    <w:rsid w:val="003138A3"/>
    <w:rsid w:val="00341F62"/>
    <w:rsid w:val="00342FC2"/>
    <w:rsid w:val="00344A4A"/>
    <w:rsid w:val="0034608F"/>
    <w:rsid w:val="00347F5D"/>
    <w:rsid w:val="00353293"/>
    <w:rsid w:val="0036299D"/>
    <w:rsid w:val="00363AB9"/>
    <w:rsid w:val="003640DD"/>
    <w:rsid w:val="00377CBC"/>
    <w:rsid w:val="00386A66"/>
    <w:rsid w:val="00390185"/>
    <w:rsid w:val="003B1D58"/>
    <w:rsid w:val="003B6DA9"/>
    <w:rsid w:val="003C4F4D"/>
    <w:rsid w:val="003D006B"/>
    <w:rsid w:val="003E310B"/>
    <w:rsid w:val="003E3A79"/>
    <w:rsid w:val="003E4978"/>
    <w:rsid w:val="003F162D"/>
    <w:rsid w:val="003F2D68"/>
    <w:rsid w:val="003F5FFA"/>
    <w:rsid w:val="003F7493"/>
    <w:rsid w:val="003F7829"/>
    <w:rsid w:val="003F7BC3"/>
    <w:rsid w:val="0040557A"/>
    <w:rsid w:val="00412F9C"/>
    <w:rsid w:val="0043294A"/>
    <w:rsid w:val="00441026"/>
    <w:rsid w:val="004453F7"/>
    <w:rsid w:val="0046131F"/>
    <w:rsid w:val="00461C75"/>
    <w:rsid w:val="0046258A"/>
    <w:rsid w:val="00462662"/>
    <w:rsid w:val="00462AD9"/>
    <w:rsid w:val="00470296"/>
    <w:rsid w:val="00470788"/>
    <w:rsid w:val="0047424B"/>
    <w:rsid w:val="00480B5F"/>
    <w:rsid w:val="00494EAA"/>
    <w:rsid w:val="00496A8A"/>
    <w:rsid w:val="004A1AE5"/>
    <w:rsid w:val="004B3204"/>
    <w:rsid w:val="004B3B38"/>
    <w:rsid w:val="004B553E"/>
    <w:rsid w:val="004B7BE0"/>
    <w:rsid w:val="004C3128"/>
    <w:rsid w:val="004C489E"/>
    <w:rsid w:val="004D3A64"/>
    <w:rsid w:val="004E3EC8"/>
    <w:rsid w:val="00503A75"/>
    <w:rsid w:val="005154C6"/>
    <w:rsid w:val="00515B7B"/>
    <w:rsid w:val="005166C2"/>
    <w:rsid w:val="00523C81"/>
    <w:rsid w:val="0052527C"/>
    <w:rsid w:val="0052657C"/>
    <w:rsid w:val="005350DF"/>
    <w:rsid w:val="00535587"/>
    <w:rsid w:val="00537593"/>
    <w:rsid w:val="005410DF"/>
    <w:rsid w:val="00542201"/>
    <w:rsid w:val="005426D8"/>
    <w:rsid w:val="005428F8"/>
    <w:rsid w:val="00550145"/>
    <w:rsid w:val="005544EA"/>
    <w:rsid w:val="00563163"/>
    <w:rsid w:val="005720F3"/>
    <w:rsid w:val="005A14C5"/>
    <w:rsid w:val="005A1F53"/>
    <w:rsid w:val="005A2C70"/>
    <w:rsid w:val="005A3A3F"/>
    <w:rsid w:val="005A505F"/>
    <w:rsid w:val="005B7619"/>
    <w:rsid w:val="005D0490"/>
    <w:rsid w:val="005F1A6B"/>
    <w:rsid w:val="005F2AEB"/>
    <w:rsid w:val="005F64ED"/>
    <w:rsid w:val="005F74E4"/>
    <w:rsid w:val="00603EC6"/>
    <w:rsid w:val="00616E9E"/>
    <w:rsid w:val="00617777"/>
    <w:rsid w:val="00624B4A"/>
    <w:rsid w:val="00630365"/>
    <w:rsid w:val="00633456"/>
    <w:rsid w:val="006403A2"/>
    <w:rsid w:val="00644A59"/>
    <w:rsid w:val="00652FA8"/>
    <w:rsid w:val="006567C0"/>
    <w:rsid w:val="00660772"/>
    <w:rsid w:val="0066446F"/>
    <w:rsid w:val="00664A0E"/>
    <w:rsid w:val="006663AC"/>
    <w:rsid w:val="00671F74"/>
    <w:rsid w:val="00672DE4"/>
    <w:rsid w:val="00692526"/>
    <w:rsid w:val="00692540"/>
    <w:rsid w:val="00692B72"/>
    <w:rsid w:val="006A0245"/>
    <w:rsid w:val="006A6776"/>
    <w:rsid w:val="006A740A"/>
    <w:rsid w:val="006B1DBE"/>
    <w:rsid w:val="006B2FFE"/>
    <w:rsid w:val="006B709D"/>
    <w:rsid w:val="006C23D7"/>
    <w:rsid w:val="006C4EC6"/>
    <w:rsid w:val="006E431F"/>
    <w:rsid w:val="006E5DF1"/>
    <w:rsid w:val="006F5571"/>
    <w:rsid w:val="006F7087"/>
    <w:rsid w:val="006F7B09"/>
    <w:rsid w:val="007106DE"/>
    <w:rsid w:val="0072221A"/>
    <w:rsid w:val="007368B2"/>
    <w:rsid w:val="007403B5"/>
    <w:rsid w:val="00740DF9"/>
    <w:rsid w:val="007429FF"/>
    <w:rsid w:val="00744EC8"/>
    <w:rsid w:val="00764069"/>
    <w:rsid w:val="00765598"/>
    <w:rsid w:val="00765CCA"/>
    <w:rsid w:val="007705EC"/>
    <w:rsid w:val="007711BF"/>
    <w:rsid w:val="0077600A"/>
    <w:rsid w:val="007904E9"/>
    <w:rsid w:val="00792DA1"/>
    <w:rsid w:val="00794012"/>
    <w:rsid w:val="007947CA"/>
    <w:rsid w:val="00795792"/>
    <w:rsid w:val="0079603C"/>
    <w:rsid w:val="00797D13"/>
    <w:rsid w:val="007A3288"/>
    <w:rsid w:val="007B1B45"/>
    <w:rsid w:val="007B3F73"/>
    <w:rsid w:val="007B48EE"/>
    <w:rsid w:val="007C3CFE"/>
    <w:rsid w:val="007C6B65"/>
    <w:rsid w:val="007E2A56"/>
    <w:rsid w:val="007F0EC3"/>
    <w:rsid w:val="007F1AEC"/>
    <w:rsid w:val="008016B9"/>
    <w:rsid w:val="00805E3D"/>
    <w:rsid w:val="00806061"/>
    <w:rsid w:val="00807E40"/>
    <w:rsid w:val="00820E91"/>
    <w:rsid w:val="00822EBF"/>
    <w:rsid w:val="00834D96"/>
    <w:rsid w:val="00840876"/>
    <w:rsid w:val="008429F0"/>
    <w:rsid w:val="00863796"/>
    <w:rsid w:val="008644EB"/>
    <w:rsid w:val="0086547A"/>
    <w:rsid w:val="0087017A"/>
    <w:rsid w:val="00877C2D"/>
    <w:rsid w:val="00880FB7"/>
    <w:rsid w:val="00881010"/>
    <w:rsid w:val="008A17A6"/>
    <w:rsid w:val="008A2910"/>
    <w:rsid w:val="008A63D0"/>
    <w:rsid w:val="008C0591"/>
    <w:rsid w:val="008C6CBA"/>
    <w:rsid w:val="008C7453"/>
    <w:rsid w:val="008E4424"/>
    <w:rsid w:val="008E4F67"/>
    <w:rsid w:val="008E6272"/>
    <w:rsid w:val="008E6298"/>
    <w:rsid w:val="008F2135"/>
    <w:rsid w:val="009138C7"/>
    <w:rsid w:val="0092793B"/>
    <w:rsid w:val="009345A1"/>
    <w:rsid w:val="00934967"/>
    <w:rsid w:val="00935D1D"/>
    <w:rsid w:val="00960FD8"/>
    <w:rsid w:val="009676B4"/>
    <w:rsid w:val="00990A37"/>
    <w:rsid w:val="00993AB0"/>
    <w:rsid w:val="00996F65"/>
    <w:rsid w:val="009971C7"/>
    <w:rsid w:val="009A7E0E"/>
    <w:rsid w:val="009A7FA7"/>
    <w:rsid w:val="009B0C14"/>
    <w:rsid w:val="009B0E39"/>
    <w:rsid w:val="009B11E6"/>
    <w:rsid w:val="009B3219"/>
    <w:rsid w:val="009B3A3B"/>
    <w:rsid w:val="009B6522"/>
    <w:rsid w:val="009C2838"/>
    <w:rsid w:val="009C4616"/>
    <w:rsid w:val="009D18F2"/>
    <w:rsid w:val="009D4B70"/>
    <w:rsid w:val="009D643E"/>
    <w:rsid w:val="009E24A8"/>
    <w:rsid w:val="009E790D"/>
    <w:rsid w:val="009F0724"/>
    <w:rsid w:val="00A00BFF"/>
    <w:rsid w:val="00A064CD"/>
    <w:rsid w:val="00A07BC9"/>
    <w:rsid w:val="00A117C0"/>
    <w:rsid w:val="00A2349C"/>
    <w:rsid w:val="00A27900"/>
    <w:rsid w:val="00A311CC"/>
    <w:rsid w:val="00A33984"/>
    <w:rsid w:val="00A33DF7"/>
    <w:rsid w:val="00A4581A"/>
    <w:rsid w:val="00A45BDC"/>
    <w:rsid w:val="00A52012"/>
    <w:rsid w:val="00A52DB4"/>
    <w:rsid w:val="00A54BB4"/>
    <w:rsid w:val="00A563B7"/>
    <w:rsid w:val="00A57113"/>
    <w:rsid w:val="00A61577"/>
    <w:rsid w:val="00A7671B"/>
    <w:rsid w:val="00A815EB"/>
    <w:rsid w:val="00A82C8F"/>
    <w:rsid w:val="00A877EC"/>
    <w:rsid w:val="00A87C89"/>
    <w:rsid w:val="00A914BC"/>
    <w:rsid w:val="00A91C76"/>
    <w:rsid w:val="00A942BA"/>
    <w:rsid w:val="00A94FEA"/>
    <w:rsid w:val="00AA2690"/>
    <w:rsid w:val="00AA38BC"/>
    <w:rsid w:val="00AC1FD9"/>
    <w:rsid w:val="00AD221D"/>
    <w:rsid w:val="00AD6BBF"/>
    <w:rsid w:val="00AE2F88"/>
    <w:rsid w:val="00AE3C7D"/>
    <w:rsid w:val="00AF17DB"/>
    <w:rsid w:val="00AF61B0"/>
    <w:rsid w:val="00AF7D04"/>
    <w:rsid w:val="00B01025"/>
    <w:rsid w:val="00B01D39"/>
    <w:rsid w:val="00B044FF"/>
    <w:rsid w:val="00B05C30"/>
    <w:rsid w:val="00B106F6"/>
    <w:rsid w:val="00B1160A"/>
    <w:rsid w:val="00B15F99"/>
    <w:rsid w:val="00B1647B"/>
    <w:rsid w:val="00B1651D"/>
    <w:rsid w:val="00B22351"/>
    <w:rsid w:val="00B25582"/>
    <w:rsid w:val="00B26117"/>
    <w:rsid w:val="00B31489"/>
    <w:rsid w:val="00B323EA"/>
    <w:rsid w:val="00B424E4"/>
    <w:rsid w:val="00B45928"/>
    <w:rsid w:val="00B5021A"/>
    <w:rsid w:val="00B52983"/>
    <w:rsid w:val="00B53FD7"/>
    <w:rsid w:val="00B548BF"/>
    <w:rsid w:val="00B54F02"/>
    <w:rsid w:val="00B5573C"/>
    <w:rsid w:val="00B65584"/>
    <w:rsid w:val="00B6765E"/>
    <w:rsid w:val="00B7355B"/>
    <w:rsid w:val="00B80163"/>
    <w:rsid w:val="00B842D5"/>
    <w:rsid w:val="00B86C55"/>
    <w:rsid w:val="00B95E7A"/>
    <w:rsid w:val="00B960BA"/>
    <w:rsid w:val="00BA67CE"/>
    <w:rsid w:val="00BD1737"/>
    <w:rsid w:val="00BD416B"/>
    <w:rsid w:val="00BE10E9"/>
    <w:rsid w:val="00BE2FC2"/>
    <w:rsid w:val="00BE3C07"/>
    <w:rsid w:val="00BF46B3"/>
    <w:rsid w:val="00C02CE5"/>
    <w:rsid w:val="00C17FB3"/>
    <w:rsid w:val="00C22CE3"/>
    <w:rsid w:val="00C27EBE"/>
    <w:rsid w:val="00C3575E"/>
    <w:rsid w:val="00C43228"/>
    <w:rsid w:val="00C435D6"/>
    <w:rsid w:val="00C45487"/>
    <w:rsid w:val="00C57108"/>
    <w:rsid w:val="00C617D2"/>
    <w:rsid w:val="00C62575"/>
    <w:rsid w:val="00C673E8"/>
    <w:rsid w:val="00C723FE"/>
    <w:rsid w:val="00C80275"/>
    <w:rsid w:val="00C81EAA"/>
    <w:rsid w:val="00C833B5"/>
    <w:rsid w:val="00C83D39"/>
    <w:rsid w:val="00C8772F"/>
    <w:rsid w:val="00CA27D5"/>
    <w:rsid w:val="00CA361E"/>
    <w:rsid w:val="00CA55B4"/>
    <w:rsid w:val="00CA68DC"/>
    <w:rsid w:val="00CB65D4"/>
    <w:rsid w:val="00CB6BD5"/>
    <w:rsid w:val="00CC1540"/>
    <w:rsid w:val="00CC44A7"/>
    <w:rsid w:val="00CD2395"/>
    <w:rsid w:val="00CD41C1"/>
    <w:rsid w:val="00CD7622"/>
    <w:rsid w:val="00CE0185"/>
    <w:rsid w:val="00CE76F4"/>
    <w:rsid w:val="00CF0DDB"/>
    <w:rsid w:val="00D02614"/>
    <w:rsid w:val="00D170A0"/>
    <w:rsid w:val="00D2528E"/>
    <w:rsid w:val="00D30453"/>
    <w:rsid w:val="00D352CC"/>
    <w:rsid w:val="00D37288"/>
    <w:rsid w:val="00D44817"/>
    <w:rsid w:val="00D455A8"/>
    <w:rsid w:val="00D45D27"/>
    <w:rsid w:val="00D47BDE"/>
    <w:rsid w:val="00D47C65"/>
    <w:rsid w:val="00D52654"/>
    <w:rsid w:val="00D53326"/>
    <w:rsid w:val="00D54A2C"/>
    <w:rsid w:val="00D56158"/>
    <w:rsid w:val="00D60FBB"/>
    <w:rsid w:val="00D6679B"/>
    <w:rsid w:val="00D74A91"/>
    <w:rsid w:val="00D77CA2"/>
    <w:rsid w:val="00D85719"/>
    <w:rsid w:val="00D8607F"/>
    <w:rsid w:val="00D95F93"/>
    <w:rsid w:val="00DA5DC1"/>
    <w:rsid w:val="00DB61BF"/>
    <w:rsid w:val="00DC3BEA"/>
    <w:rsid w:val="00DC6D0B"/>
    <w:rsid w:val="00DD2B40"/>
    <w:rsid w:val="00DE0ED6"/>
    <w:rsid w:val="00DE1AD8"/>
    <w:rsid w:val="00DE311A"/>
    <w:rsid w:val="00E07E07"/>
    <w:rsid w:val="00E12EEB"/>
    <w:rsid w:val="00E26236"/>
    <w:rsid w:val="00E26875"/>
    <w:rsid w:val="00E4434B"/>
    <w:rsid w:val="00E46BF9"/>
    <w:rsid w:val="00E47C44"/>
    <w:rsid w:val="00E5749F"/>
    <w:rsid w:val="00E603BC"/>
    <w:rsid w:val="00E66D5D"/>
    <w:rsid w:val="00E67913"/>
    <w:rsid w:val="00E7248C"/>
    <w:rsid w:val="00E72FB5"/>
    <w:rsid w:val="00E77900"/>
    <w:rsid w:val="00E843F0"/>
    <w:rsid w:val="00E91FB3"/>
    <w:rsid w:val="00E943C5"/>
    <w:rsid w:val="00E94442"/>
    <w:rsid w:val="00EA2A6A"/>
    <w:rsid w:val="00EB3C3E"/>
    <w:rsid w:val="00EB7DC5"/>
    <w:rsid w:val="00EC1BC4"/>
    <w:rsid w:val="00EC346F"/>
    <w:rsid w:val="00EF1EE9"/>
    <w:rsid w:val="00EF311F"/>
    <w:rsid w:val="00F00A05"/>
    <w:rsid w:val="00F13AD2"/>
    <w:rsid w:val="00F21B21"/>
    <w:rsid w:val="00F24CE6"/>
    <w:rsid w:val="00F2774E"/>
    <w:rsid w:val="00F3057B"/>
    <w:rsid w:val="00F32A45"/>
    <w:rsid w:val="00F344A9"/>
    <w:rsid w:val="00F3600B"/>
    <w:rsid w:val="00F4222C"/>
    <w:rsid w:val="00F4310F"/>
    <w:rsid w:val="00F43B57"/>
    <w:rsid w:val="00F46F47"/>
    <w:rsid w:val="00F4754C"/>
    <w:rsid w:val="00F549EC"/>
    <w:rsid w:val="00F64CBE"/>
    <w:rsid w:val="00F7119E"/>
    <w:rsid w:val="00F824A5"/>
    <w:rsid w:val="00F85C45"/>
    <w:rsid w:val="00F924B5"/>
    <w:rsid w:val="00F95A50"/>
    <w:rsid w:val="00FA1F41"/>
    <w:rsid w:val="00FA42DF"/>
    <w:rsid w:val="00FB493B"/>
    <w:rsid w:val="00FC6E2E"/>
    <w:rsid w:val="00FD157F"/>
    <w:rsid w:val="00FD7DF1"/>
    <w:rsid w:val="00FE05EB"/>
    <w:rsid w:val="00FE2F0B"/>
    <w:rsid w:val="00FF3053"/>
  </w:rsids>
  <m:mathPr>
    <m:mathFont m:val="Cambria Math"/>
    <m:brkBin m:val="before"/>
    <m:brkBinSub m:val="--"/>
    <m:smallFrac m:val="0"/>
    <m:dispDef/>
    <m:lMargin m:val="0"/>
    <m:rMargin m:val="0"/>
    <m:defJc m:val="centerGroup"/>
    <m:wrapIndent m:val="1440"/>
    <m:intLim m:val="subSup"/>
    <m:naryLim m:val="undOvr"/>
  </m:mathPr>
  <w:themeFontLang w:val="sl-SI"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170A"/>
  <w15:docId w15:val="{1CE1243C-CB04-4683-B9D4-5068E973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42D5"/>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F311F"/>
    <w:pPr>
      <w:tabs>
        <w:tab w:val="center" w:pos="4320"/>
        <w:tab w:val="right" w:pos="8640"/>
      </w:tabs>
    </w:pPr>
  </w:style>
  <w:style w:type="character" w:customStyle="1" w:styleId="GlavaZnak">
    <w:name w:val="Glava Znak"/>
    <w:basedOn w:val="Privzetapisavaodstavka"/>
    <w:link w:val="Glava"/>
    <w:rsid w:val="00EF311F"/>
    <w:rPr>
      <w:rFonts w:ascii="Arial" w:eastAsia="Times New Roman" w:hAnsi="Arial" w:cs="Times New Roman"/>
      <w:sz w:val="20"/>
      <w:szCs w:val="24"/>
      <w:lang w:val="en-US"/>
    </w:rPr>
  </w:style>
  <w:style w:type="paragraph" w:styleId="Noga">
    <w:name w:val="footer"/>
    <w:basedOn w:val="Navaden"/>
    <w:link w:val="NogaZnak"/>
    <w:semiHidden/>
    <w:rsid w:val="00EF311F"/>
    <w:pPr>
      <w:tabs>
        <w:tab w:val="center" w:pos="4320"/>
        <w:tab w:val="right" w:pos="8640"/>
      </w:tabs>
    </w:pPr>
  </w:style>
  <w:style w:type="character" w:customStyle="1" w:styleId="NogaZnak">
    <w:name w:val="Noga Znak"/>
    <w:basedOn w:val="Privzetapisavaodstavka"/>
    <w:link w:val="Noga"/>
    <w:semiHidden/>
    <w:rsid w:val="00EF311F"/>
    <w:rPr>
      <w:rFonts w:ascii="Arial" w:eastAsia="Times New Roman" w:hAnsi="Arial" w:cs="Times New Roman"/>
      <w:sz w:val="20"/>
      <w:szCs w:val="24"/>
      <w:lang w:val="en-US"/>
    </w:rPr>
  </w:style>
  <w:style w:type="paragraph" w:styleId="Besedilooblaka">
    <w:name w:val="Balloon Text"/>
    <w:basedOn w:val="Navaden"/>
    <w:link w:val="BesedilooblakaZnak"/>
    <w:uiPriority w:val="99"/>
    <w:semiHidden/>
    <w:unhideWhenUsed/>
    <w:rsid w:val="00792DA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92DA1"/>
    <w:rPr>
      <w:rFonts w:ascii="Tahoma" w:eastAsia="Times New Roman" w:hAnsi="Tahoma" w:cs="Tahoma"/>
      <w:sz w:val="16"/>
      <w:szCs w:val="16"/>
      <w:lang w:val="en-US"/>
    </w:rPr>
  </w:style>
  <w:style w:type="paragraph" w:styleId="Odstavekseznama">
    <w:name w:val="List Paragraph"/>
    <w:basedOn w:val="Navaden"/>
    <w:link w:val="OdstavekseznamaZnak"/>
    <w:uiPriority w:val="34"/>
    <w:qFormat/>
    <w:rsid w:val="00211118"/>
    <w:pPr>
      <w:ind w:left="720"/>
      <w:contextualSpacing/>
    </w:pPr>
  </w:style>
  <w:style w:type="character" w:styleId="Pripombasklic">
    <w:name w:val="annotation reference"/>
    <w:basedOn w:val="Privzetapisavaodstavka"/>
    <w:uiPriority w:val="99"/>
    <w:semiHidden/>
    <w:unhideWhenUsed/>
    <w:rsid w:val="00A94FEA"/>
    <w:rPr>
      <w:sz w:val="16"/>
      <w:szCs w:val="16"/>
    </w:rPr>
  </w:style>
  <w:style w:type="paragraph" w:styleId="Pripombabesedilo">
    <w:name w:val="annotation text"/>
    <w:basedOn w:val="Navaden"/>
    <w:link w:val="PripombabesediloZnak"/>
    <w:uiPriority w:val="99"/>
    <w:unhideWhenUsed/>
    <w:rsid w:val="00A94FEA"/>
    <w:pPr>
      <w:spacing w:line="240" w:lineRule="auto"/>
    </w:pPr>
    <w:rPr>
      <w:szCs w:val="20"/>
    </w:rPr>
  </w:style>
  <w:style w:type="character" w:customStyle="1" w:styleId="PripombabesediloZnak">
    <w:name w:val="Pripomba – besedilo Znak"/>
    <w:basedOn w:val="Privzetapisavaodstavka"/>
    <w:link w:val="Pripombabesedilo"/>
    <w:uiPriority w:val="99"/>
    <w:rsid w:val="00A94FEA"/>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A94FEA"/>
    <w:rPr>
      <w:b/>
      <w:bCs/>
    </w:rPr>
  </w:style>
  <w:style w:type="character" w:customStyle="1" w:styleId="ZadevapripombeZnak">
    <w:name w:val="Zadeva pripombe Znak"/>
    <w:basedOn w:val="PripombabesediloZnak"/>
    <w:link w:val="Zadevapripombe"/>
    <w:uiPriority w:val="99"/>
    <w:semiHidden/>
    <w:rsid w:val="00A94FEA"/>
    <w:rPr>
      <w:rFonts w:ascii="Arial" w:eastAsia="Times New Roman" w:hAnsi="Arial" w:cs="Times New Roman"/>
      <w:b/>
      <w:bCs/>
      <w:sz w:val="20"/>
      <w:szCs w:val="20"/>
      <w:lang w:val="en-US"/>
    </w:rPr>
  </w:style>
  <w:style w:type="character" w:customStyle="1" w:styleId="OdstavekseznamaZnak">
    <w:name w:val="Odstavek seznama Znak"/>
    <w:link w:val="Odstavekseznama"/>
    <w:uiPriority w:val="34"/>
    <w:rsid w:val="00A914BC"/>
    <w:rPr>
      <w:rFonts w:ascii="Arial" w:eastAsia="Times New Roman" w:hAnsi="Arial" w:cs="Times New Roman"/>
      <w:sz w:val="20"/>
      <w:szCs w:val="24"/>
      <w:lang w:val="en-US"/>
    </w:rPr>
  </w:style>
  <w:style w:type="paragraph" w:styleId="Sprotnaopomba-besedilo">
    <w:name w:val="footnote text"/>
    <w:basedOn w:val="Navaden"/>
    <w:link w:val="Sprotnaopomba-besediloZnak"/>
    <w:uiPriority w:val="99"/>
    <w:semiHidden/>
    <w:unhideWhenUsed/>
    <w:rsid w:val="00B05C30"/>
    <w:pPr>
      <w:spacing w:line="240" w:lineRule="auto"/>
      <w:ind w:left="720" w:hanging="720"/>
      <w:jc w:val="both"/>
    </w:pPr>
    <w:rPr>
      <w:rFonts w:ascii="Times New Roman" w:eastAsiaTheme="minorHAnsi" w:hAnsi="Times New Roman"/>
      <w:szCs w:val="20"/>
      <w:lang w:val="sl-SI"/>
    </w:rPr>
  </w:style>
  <w:style w:type="character" w:customStyle="1" w:styleId="Sprotnaopomba-besediloZnak">
    <w:name w:val="Sprotna opomba - besedilo Znak"/>
    <w:basedOn w:val="Privzetapisavaodstavka"/>
    <w:link w:val="Sprotnaopomba-besedilo"/>
    <w:uiPriority w:val="99"/>
    <w:semiHidden/>
    <w:rsid w:val="00B05C30"/>
    <w:rPr>
      <w:rFonts w:ascii="Times New Roman" w:hAnsi="Times New Roman" w:cs="Times New Roman"/>
      <w:sz w:val="20"/>
      <w:szCs w:val="20"/>
    </w:rPr>
  </w:style>
  <w:style w:type="character" w:styleId="Sprotnaopomba-sklic">
    <w:name w:val="footnote reference"/>
    <w:basedOn w:val="Privzetapisavaodstavka"/>
    <w:uiPriority w:val="99"/>
    <w:semiHidden/>
    <w:unhideWhenUsed/>
    <w:rsid w:val="00B05C30"/>
    <w:rPr>
      <w:shd w:val="clear" w:color="auto" w:fill="auto"/>
      <w:vertAlign w:val="superscript"/>
    </w:rPr>
  </w:style>
  <w:style w:type="paragraph" w:styleId="Revizija">
    <w:name w:val="Revision"/>
    <w:hidden/>
    <w:uiPriority w:val="99"/>
    <w:semiHidden/>
    <w:rsid w:val="0018596B"/>
    <w:pPr>
      <w:spacing w:after="0" w:line="240" w:lineRule="auto"/>
    </w:pPr>
    <w:rPr>
      <w:rFonts w:ascii="Arial" w:eastAsia="Times New Roman" w:hAnsi="Arial" w:cs="Times New Roman"/>
      <w:sz w:val="20"/>
      <w:szCs w:val="24"/>
      <w:lang w:val="en-US"/>
    </w:rPr>
  </w:style>
  <w:style w:type="paragraph" w:customStyle="1" w:styleId="Typedudocument">
    <w:name w:val="Type du document"/>
    <w:basedOn w:val="Navaden"/>
    <w:next w:val="Navaden"/>
    <w:rsid w:val="000855C2"/>
    <w:pPr>
      <w:spacing w:before="360" w:line="240" w:lineRule="auto"/>
      <w:jc w:val="center"/>
    </w:pPr>
    <w:rPr>
      <w:rFonts w:ascii="Times New Roman" w:hAnsi="Times New Roman"/>
      <w:b/>
      <w:sz w:val="24"/>
      <w:lang w:val="en-GB" w:eastAsia="de-DE"/>
    </w:rPr>
  </w:style>
  <w:style w:type="character" w:styleId="Hiperpovezava">
    <w:name w:val="Hyperlink"/>
    <w:basedOn w:val="Privzetapisavaodstavka"/>
    <w:uiPriority w:val="99"/>
    <w:unhideWhenUsed/>
    <w:rsid w:val="00085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5707">
      <w:bodyDiv w:val="1"/>
      <w:marLeft w:val="0"/>
      <w:marRight w:val="0"/>
      <w:marTop w:val="0"/>
      <w:marBottom w:val="0"/>
      <w:divBdr>
        <w:top w:val="none" w:sz="0" w:space="0" w:color="auto"/>
        <w:left w:val="none" w:sz="0" w:space="0" w:color="auto"/>
        <w:bottom w:val="none" w:sz="0" w:space="0" w:color="auto"/>
        <w:right w:val="none" w:sz="0" w:space="0" w:color="auto"/>
      </w:divBdr>
    </w:div>
    <w:div w:id="541481748">
      <w:bodyDiv w:val="1"/>
      <w:marLeft w:val="0"/>
      <w:marRight w:val="0"/>
      <w:marTop w:val="0"/>
      <w:marBottom w:val="0"/>
      <w:divBdr>
        <w:top w:val="none" w:sz="0" w:space="0" w:color="auto"/>
        <w:left w:val="none" w:sz="0" w:space="0" w:color="auto"/>
        <w:bottom w:val="none" w:sz="0" w:space="0" w:color="auto"/>
        <w:right w:val="none" w:sz="0" w:space="0" w:color="auto"/>
      </w:divBdr>
    </w:div>
    <w:div w:id="805585979">
      <w:bodyDiv w:val="1"/>
      <w:marLeft w:val="0"/>
      <w:marRight w:val="0"/>
      <w:marTop w:val="0"/>
      <w:marBottom w:val="0"/>
      <w:divBdr>
        <w:top w:val="none" w:sz="0" w:space="0" w:color="auto"/>
        <w:left w:val="none" w:sz="0" w:space="0" w:color="auto"/>
        <w:bottom w:val="none" w:sz="0" w:space="0" w:color="auto"/>
        <w:right w:val="none" w:sz="0" w:space="0" w:color="auto"/>
      </w:divBdr>
    </w:div>
    <w:div w:id="960841148">
      <w:bodyDiv w:val="1"/>
      <w:marLeft w:val="0"/>
      <w:marRight w:val="0"/>
      <w:marTop w:val="0"/>
      <w:marBottom w:val="0"/>
      <w:divBdr>
        <w:top w:val="none" w:sz="0" w:space="0" w:color="auto"/>
        <w:left w:val="none" w:sz="0" w:space="0" w:color="auto"/>
        <w:bottom w:val="none" w:sz="0" w:space="0" w:color="auto"/>
        <w:right w:val="none" w:sz="0" w:space="0" w:color="auto"/>
      </w:divBdr>
    </w:div>
    <w:div w:id="16433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52025PC05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SL/TXT/DOC/?uri=CELEX:52025PC056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89C9A2-4D62-47EE-9B94-7F7AC47F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5446</Words>
  <Characters>31047</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Gašperlin Pertovt</dc:creator>
  <cp:lastModifiedBy>Helena Gašperlin Pertovt</cp:lastModifiedBy>
  <cp:revision>8</cp:revision>
  <cp:lastPrinted>2025-10-10T08:59:00Z</cp:lastPrinted>
  <dcterms:created xsi:type="dcterms:W3CDTF">2025-10-14T10:27:00Z</dcterms:created>
  <dcterms:modified xsi:type="dcterms:W3CDTF">2025-10-15T13:02:00Z</dcterms:modified>
</cp:coreProperties>
</file>