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3FB8" w14:textId="77777777" w:rsidR="00567D96" w:rsidRPr="00D35713" w:rsidRDefault="00567D96" w:rsidP="00567D96">
      <w:pPr>
        <w:jc w:val="both"/>
        <w:rPr>
          <w:rFonts w:ascii="Arial" w:hAnsi="Arial" w:cs="Arial"/>
        </w:rPr>
      </w:pPr>
      <w:r w:rsidRPr="00D35713">
        <w:rPr>
          <w:rFonts w:ascii="Arial" w:hAnsi="Arial" w:cs="Arial"/>
        </w:rPr>
        <w:t>Na podlagi tretjega odstavka 57. člena Zakona o skupnih temeljih sistema plač v javnem sektorju (Uradni list RS, št. 95/24) izdaja ministrica za kulturo</w:t>
      </w:r>
    </w:p>
    <w:p w14:paraId="72374AF6" w14:textId="77777777" w:rsidR="00567D96" w:rsidRPr="00D35713" w:rsidRDefault="00567D96" w:rsidP="00567D96">
      <w:pPr>
        <w:jc w:val="both"/>
        <w:rPr>
          <w:rFonts w:ascii="Arial" w:hAnsi="Arial" w:cs="Arial"/>
        </w:rPr>
      </w:pPr>
    </w:p>
    <w:p w14:paraId="4E43A665" w14:textId="77777777" w:rsidR="00567D96" w:rsidRPr="00D35713" w:rsidRDefault="00567D96" w:rsidP="00567D96">
      <w:pPr>
        <w:jc w:val="both"/>
        <w:rPr>
          <w:rFonts w:ascii="Arial" w:hAnsi="Arial" w:cs="Arial"/>
          <w:b/>
          <w:bCs/>
        </w:rPr>
      </w:pPr>
      <w:bookmarkStart w:id="0" w:name="_Hlk215753247"/>
      <w:r w:rsidRPr="00D35713">
        <w:rPr>
          <w:rFonts w:ascii="Arial" w:hAnsi="Arial" w:cs="Arial"/>
          <w:b/>
          <w:bCs/>
        </w:rPr>
        <w:t>Pravilnik o kriterijih za določitev dela plače za delovno uspešnost javnih uslužbencev plačne skupine B s področja kulture</w:t>
      </w:r>
    </w:p>
    <w:bookmarkEnd w:id="0"/>
    <w:p w14:paraId="1453413E" w14:textId="77777777" w:rsidR="00567D96" w:rsidRPr="00D35713" w:rsidRDefault="00567D96" w:rsidP="00567D96">
      <w:pPr>
        <w:jc w:val="both"/>
        <w:rPr>
          <w:rFonts w:ascii="Arial" w:hAnsi="Arial" w:cs="Arial"/>
          <w:b/>
          <w:bCs/>
        </w:rPr>
      </w:pPr>
    </w:p>
    <w:p w14:paraId="58FAA51D" w14:textId="77777777" w:rsidR="00567D96" w:rsidRPr="00D35713" w:rsidRDefault="00567D96" w:rsidP="00B83D62">
      <w:pPr>
        <w:jc w:val="center"/>
        <w:rPr>
          <w:rFonts w:ascii="Arial" w:hAnsi="Arial" w:cs="Arial"/>
          <w:b/>
          <w:bCs/>
        </w:rPr>
      </w:pPr>
      <w:r w:rsidRPr="00D35713">
        <w:rPr>
          <w:rFonts w:ascii="Arial" w:hAnsi="Arial" w:cs="Arial"/>
          <w:b/>
          <w:bCs/>
        </w:rPr>
        <w:t>1. člen</w:t>
      </w:r>
    </w:p>
    <w:p w14:paraId="229D2F37" w14:textId="77777777" w:rsidR="00567D96" w:rsidRPr="00D35713" w:rsidRDefault="00567D96" w:rsidP="00B83D62">
      <w:pPr>
        <w:jc w:val="center"/>
        <w:rPr>
          <w:rFonts w:ascii="Arial" w:hAnsi="Arial" w:cs="Arial"/>
          <w:b/>
          <w:bCs/>
        </w:rPr>
      </w:pPr>
      <w:r w:rsidRPr="00D35713">
        <w:rPr>
          <w:rFonts w:ascii="Arial" w:hAnsi="Arial" w:cs="Arial"/>
          <w:b/>
          <w:bCs/>
        </w:rPr>
        <w:t>(splošna določba)</w:t>
      </w:r>
    </w:p>
    <w:p w14:paraId="0329171E" w14:textId="15551EEB" w:rsidR="00567D96" w:rsidRPr="00D35713" w:rsidRDefault="00567D96" w:rsidP="00567D96">
      <w:pPr>
        <w:jc w:val="both"/>
        <w:rPr>
          <w:rFonts w:ascii="Arial" w:hAnsi="Arial" w:cs="Arial"/>
          <w:b/>
          <w:bCs/>
        </w:rPr>
      </w:pPr>
      <w:r w:rsidRPr="00D35713">
        <w:rPr>
          <w:rFonts w:ascii="Arial" w:hAnsi="Arial" w:cs="Arial"/>
        </w:rPr>
        <w:t>Ta pravilnik določa kriterije za določitev dela plače za delovno uspešnost javnih uslužbencev plačne skupine B s področja kulture.</w:t>
      </w:r>
    </w:p>
    <w:p w14:paraId="5A688DF9" w14:textId="77777777" w:rsidR="00567D96" w:rsidRPr="00D35713" w:rsidRDefault="00567D96" w:rsidP="00567D96">
      <w:pPr>
        <w:jc w:val="both"/>
        <w:rPr>
          <w:rFonts w:ascii="Arial" w:hAnsi="Arial" w:cs="Arial"/>
          <w:b/>
          <w:bCs/>
        </w:rPr>
      </w:pPr>
    </w:p>
    <w:p w14:paraId="781B6C83" w14:textId="77777777" w:rsidR="00567D96" w:rsidRPr="00D35713" w:rsidRDefault="00567D96" w:rsidP="00B83D62">
      <w:pPr>
        <w:jc w:val="center"/>
        <w:rPr>
          <w:rFonts w:ascii="Arial" w:hAnsi="Arial" w:cs="Arial"/>
          <w:b/>
          <w:bCs/>
        </w:rPr>
      </w:pPr>
      <w:r w:rsidRPr="00D35713">
        <w:rPr>
          <w:rFonts w:ascii="Arial" w:hAnsi="Arial" w:cs="Arial"/>
          <w:b/>
          <w:bCs/>
        </w:rPr>
        <w:t>2. člen</w:t>
      </w:r>
    </w:p>
    <w:p w14:paraId="4F1ED360" w14:textId="77777777" w:rsidR="00567D96" w:rsidRPr="00D35713" w:rsidRDefault="00567D96" w:rsidP="00B83D62">
      <w:pPr>
        <w:jc w:val="center"/>
        <w:rPr>
          <w:rFonts w:ascii="Arial" w:hAnsi="Arial" w:cs="Arial"/>
          <w:b/>
          <w:bCs/>
        </w:rPr>
      </w:pPr>
      <w:r w:rsidRPr="00D35713">
        <w:rPr>
          <w:rFonts w:ascii="Arial" w:hAnsi="Arial" w:cs="Arial"/>
          <w:b/>
          <w:bCs/>
        </w:rPr>
        <w:t>(določanje dela plače za delovno uspešnost)</w:t>
      </w:r>
    </w:p>
    <w:p w14:paraId="6C9FF864" w14:textId="77777777" w:rsidR="00567D96" w:rsidRPr="00D35713" w:rsidRDefault="00567D96" w:rsidP="00567D96">
      <w:pPr>
        <w:jc w:val="both"/>
        <w:rPr>
          <w:rFonts w:ascii="Arial" w:hAnsi="Arial" w:cs="Arial"/>
        </w:rPr>
      </w:pPr>
      <w:r w:rsidRPr="00D35713">
        <w:rPr>
          <w:rFonts w:ascii="Arial" w:hAnsi="Arial" w:cs="Arial"/>
        </w:rPr>
        <w:t>(1) Višino dela plače za delovno uspešnost javnih uslužbencev plačne skupine B določi pristojni organ na podlagi kriterijev iz tega pravilnika glede na podatke iz letnega poročila.</w:t>
      </w:r>
    </w:p>
    <w:p w14:paraId="50091175" w14:textId="77777777" w:rsidR="00567D96" w:rsidRPr="00D35713" w:rsidRDefault="00567D96" w:rsidP="00567D96">
      <w:pPr>
        <w:jc w:val="both"/>
        <w:rPr>
          <w:rFonts w:ascii="Arial" w:hAnsi="Arial" w:cs="Arial"/>
        </w:rPr>
      </w:pPr>
      <w:r w:rsidRPr="00D35713">
        <w:rPr>
          <w:rFonts w:ascii="Arial" w:hAnsi="Arial" w:cs="Arial"/>
        </w:rPr>
        <w:t>(2) Predlog za določitev dela plače za delovno uspešnost poda organu iz prejšnjega odstavka svet pravne osebe javnega prava najpozneje do 30. junija tekočega leta za preteklo poslovno leto, razen ko je pristojni organ za določitev dela plače za delovno uspešnost sam svet pravne osebe javnega prava.</w:t>
      </w:r>
    </w:p>
    <w:p w14:paraId="4AB9BC46" w14:textId="3EA47DA0" w:rsidR="009A36E7" w:rsidRPr="00D35713" w:rsidRDefault="009A36E7" w:rsidP="009A36E7">
      <w:pPr>
        <w:jc w:val="both"/>
        <w:rPr>
          <w:rFonts w:ascii="Arial" w:hAnsi="Arial" w:cs="Arial"/>
        </w:rPr>
      </w:pPr>
      <w:r w:rsidRPr="00D35713">
        <w:rPr>
          <w:rFonts w:ascii="Arial" w:hAnsi="Arial" w:cs="Arial"/>
        </w:rPr>
        <w:t>(3) Kadar organ iz prvega odstavka ni hkrati tudi organ ustanovitelja, mora pri določitvi dela plače za delovno uspešnost javnega uslužbenca plačne skupine B pridobiti soglasje ustanovitelja.</w:t>
      </w:r>
    </w:p>
    <w:p w14:paraId="5278AD3C" w14:textId="1C6838E3" w:rsidR="009A36E7" w:rsidRPr="00D35713" w:rsidRDefault="009A36E7" w:rsidP="009A36E7">
      <w:pPr>
        <w:jc w:val="both"/>
        <w:rPr>
          <w:rFonts w:ascii="Arial" w:hAnsi="Arial" w:cs="Arial"/>
        </w:rPr>
      </w:pPr>
      <w:r w:rsidRPr="00D35713">
        <w:rPr>
          <w:rFonts w:ascii="Arial" w:hAnsi="Arial" w:cs="Arial"/>
        </w:rPr>
        <w:t>(4) Kadar je večinski financer pravne osebe javnega prava država, ki pa hkrati ni njena ustanoviteljica, mora organ iz prvega odstavka pridobiti tudi soglasje ministra oziroma ministrice, pristojne za kulturo (v nadaljnjem besedilu: minister).</w:t>
      </w:r>
    </w:p>
    <w:p w14:paraId="7A9AAE89" w14:textId="77777777" w:rsidR="009A36E7" w:rsidRPr="00D35713" w:rsidRDefault="009A36E7" w:rsidP="009A36E7">
      <w:pPr>
        <w:jc w:val="both"/>
        <w:rPr>
          <w:rFonts w:ascii="Arial" w:hAnsi="Arial" w:cs="Arial"/>
        </w:rPr>
      </w:pPr>
      <w:r w:rsidRPr="00D35713">
        <w:rPr>
          <w:rFonts w:ascii="Arial" w:hAnsi="Arial" w:cs="Arial"/>
        </w:rPr>
        <w:t>(5) V primeru iz tretjega odstavka, kadar je ustanoviteljica država, ter četrtega odstavka mora organ iz prvega odstavka za soglasje zaprositi najpozneje do 30. septembra tekočega leta za preteklo poslovno leto.</w:t>
      </w:r>
    </w:p>
    <w:p w14:paraId="06EF9C89" w14:textId="77777777" w:rsidR="00567D96" w:rsidRPr="00D35713" w:rsidRDefault="00567D96" w:rsidP="00567D96">
      <w:pPr>
        <w:jc w:val="both"/>
        <w:rPr>
          <w:rFonts w:ascii="Arial" w:hAnsi="Arial" w:cs="Arial"/>
          <w:b/>
          <w:bCs/>
        </w:rPr>
      </w:pPr>
    </w:p>
    <w:p w14:paraId="3154DDE1" w14:textId="77777777" w:rsidR="00567D96" w:rsidRPr="00D35713" w:rsidRDefault="00567D96" w:rsidP="00B83D62">
      <w:pPr>
        <w:jc w:val="center"/>
        <w:rPr>
          <w:rFonts w:ascii="Arial" w:hAnsi="Arial" w:cs="Arial"/>
          <w:b/>
          <w:bCs/>
        </w:rPr>
      </w:pPr>
      <w:r w:rsidRPr="00D35713">
        <w:rPr>
          <w:rFonts w:ascii="Arial" w:hAnsi="Arial" w:cs="Arial"/>
          <w:b/>
          <w:bCs/>
        </w:rPr>
        <w:t>3. člen</w:t>
      </w:r>
    </w:p>
    <w:p w14:paraId="1FD0DDBA" w14:textId="77777777" w:rsidR="00567D96" w:rsidRPr="00D35713" w:rsidRDefault="00567D96" w:rsidP="00B83D62">
      <w:pPr>
        <w:jc w:val="center"/>
        <w:rPr>
          <w:rFonts w:ascii="Arial" w:hAnsi="Arial" w:cs="Arial"/>
          <w:b/>
          <w:bCs/>
        </w:rPr>
      </w:pPr>
      <w:r w:rsidRPr="00D35713">
        <w:rPr>
          <w:rFonts w:ascii="Arial" w:hAnsi="Arial" w:cs="Arial"/>
          <w:b/>
          <w:bCs/>
        </w:rPr>
        <w:t>(kriteriji za določitev dela plače za delovno uspešnost)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04"/>
      </w:tblGrid>
      <w:tr w:rsidR="00650379" w:rsidRPr="00D35713" w14:paraId="4C27945C" w14:textId="77777777" w:rsidTr="00D35713">
        <w:tc>
          <w:tcPr>
            <w:tcW w:w="14004" w:type="dxa"/>
          </w:tcPr>
          <w:p w14:paraId="681E7DF1" w14:textId="77777777" w:rsidR="00D35713" w:rsidRDefault="00650379" w:rsidP="00085517">
            <w:pPr>
              <w:jc w:val="both"/>
              <w:rPr>
                <w:rFonts w:ascii="Arial" w:hAnsi="Arial" w:cs="Arial"/>
              </w:rPr>
            </w:pPr>
            <w:r w:rsidRPr="00D35713">
              <w:rPr>
                <w:rFonts w:ascii="Arial" w:hAnsi="Arial" w:cs="Arial"/>
              </w:rPr>
              <w:t xml:space="preserve">Višino dela plače za delovno uspešnost javnih uslužbencev plačne skupine B določi pristojni </w:t>
            </w:r>
          </w:p>
          <w:p w14:paraId="3508821A" w14:textId="5E867AB6" w:rsidR="00650379" w:rsidRPr="00D35713" w:rsidRDefault="00650379" w:rsidP="00085517">
            <w:pPr>
              <w:jc w:val="both"/>
              <w:rPr>
                <w:rFonts w:ascii="Arial" w:hAnsi="Arial" w:cs="Arial"/>
              </w:rPr>
            </w:pPr>
            <w:r w:rsidRPr="00D35713">
              <w:rPr>
                <w:rFonts w:ascii="Arial" w:hAnsi="Arial" w:cs="Arial"/>
              </w:rPr>
              <w:t>organ na podlagi naslednjih kriterijev: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8"/>
              <w:gridCol w:w="239"/>
              <w:gridCol w:w="1078"/>
            </w:tblGrid>
            <w:tr w:rsidR="00650379" w:rsidRPr="00D35713" w14:paraId="7C8D0D80" w14:textId="77777777" w:rsidTr="00D35713">
              <w:trPr>
                <w:trHeight w:val="2960"/>
              </w:trPr>
              <w:tc>
                <w:tcPr>
                  <w:tcW w:w="7928" w:type="dxa"/>
                </w:tcPr>
                <w:p w14:paraId="2273F697" w14:textId="601B94CD" w:rsidR="00650379" w:rsidRPr="00D35713" w:rsidRDefault="00650379" w:rsidP="00085517">
                  <w:pPr>
                    <w:jc w:val="both"/>
                    <w:rPr>
                      <w:rFonts w:ascii="Arial" w:hAnsi="Arial" w:cs="Arial"/>
                    </w:rPr>
                  </w:pPr>
                  <w:r w:rsidRPr="00D35713">
                    <w:rPr>
                      <w:rFonts w:ascii="Arial" w:hAnsi="Arial" w:cs="Arial"/>
                    </w:rPr>
                    <w:lastRenderedPageBreak/>
                    <w:t>-   izpolnjen letni program dela,</w:t>
                  </w:r>
                </w:p>
                <w:p w14:paraId="55C7BBD9" w14:textId="77777777" w:rsidR="00650379" w:rsidRPr="00D35713" w:rsidRDefault="00650379" w:rsidP="00085517">
                  <w:pPr>
                    <w:jc w:val="both"/>
                    <w:rPr>
                      <w:rFonts w:ascii="Arial" w:hAnsi="Arial" w:cs="Arial"/>
                    </w:rPr>
                  </w:pPr>
                </w:p>
                <w:p w14:paraId="6A7E4820" w14:textId="1D287556" w:rsidR="00650379" w:rsidRPr="00D35713" w:rsidRDefault="00650379" w:rsidP="00085517">
                  <w:pPr>
                    <w:jc w:val="both"/>
                    <w:rPr>
                      <w:rFonts w:ascii="Arial" w:hAnsi="Arial" w:cs="Arial"/>
                    </w:rPr>
                  </w:pPr>
                  <w:r w:rsidRPr="00D35713">
                    <w:rPr>
                      <w:rFonts w:ascii="Arial" w:hAnsi="Arial" w:cs="Arial"/>
                    </w:rPr>
                    <w:t>-  dosežen delež nejavnih prihodkov za javno službo v celotnem letnem prihodku,</w:t>
                  </w:r>
                </w:p>
                <w:p w14:paraId="09A1DABB" w14:textId="77777777" w:rsidR="00650379" w:rsidRPr="00D35713" w:rsidRDefault="00650379" w:rsidP="00085517">
                  <w:pPr>
                    <w:jc w:val="both"/>
                    <w:rPr>
                      <w:rFonts w:ascii="Arial" w:hAnsi="Arial" w:cs="Arial"/>
                    </w:rPr>
                  </w:pPr>
                  <w:r w:rsidRPr="00D35713">
                    <w:rPr>
                      <w:rFonts w:ascii="Arial" w:hAnsi="Arial" w:cs="Arial"/>
                    </w:rPr>
                    <w:t xml:space="preserve"> </w:t>
                  </w:r>
                </w:p>
                <w:p w14:paraId="2150E904" w14:textId="2F7BB37F" w:rsidR="00650379" w:rsidRPr="00D35713" w:rsidRDefault="00650379" w:rsidP="00085517">
                  <w:pPr>
                    <w:jc w:val="both"/>
                    <w:rPr>
                      <w:rFonts w:ascii="Arial" w:hAnsi="Arial" w:cs="Arial"/>
                    </w:rPr>
                  </w:pPr>
                  <w:r w:rsidRPr="00D35713">
                    <w:rPr>
                      <w:rFonts w:ascii="Arial" w:hAnsi="Arial" w:cs="Arial"/>
                    </w:rPr>
                    <w:t>- dalj časa trajajoča nadpovprečna delovna obremenitev pri izvajanju programa dela, kamor se štejejo naloge, kot so vodenje gradnje, celostne obnove, bistvena razširitev ali uvajanje novih dejavnosti, priprava in izvedba zahtevnih projektov z več deležniki, krizno upravljanje ob nepredvidenih dogodkih,</w:t>
                  </w:r>
                </w:p>
                <w:p w14:paraId="762CE09B" w14:textId="77777777" w:rsidR="00650379" w:rsidRPr="00D35713" w:rsidRDefault="00650379" w:rsidP="00085517">
                  <w:pPr>
                    <w:jc w:val="both"/>
                    <w:rPr>
                      <w:rFonts w:ascii="Arial" w:hAnsi="Arial" w:cs="Arial"/>
                    </w:rPr>
                  </w:pPr>
                </w:p>
                <w:p w14:paraId="3807F0F5" w14:textId="1EFF5B93" w:rsidR="00650379" w:rsidRPr="00D35713" w:rsidRDefault="00650379" w:rsidP="00085517">
                  <w:pPr>
                    <w:jc w:val="both"/>
                    <w:rPr>
                      <w:rFonts w:ascii="Arial" w:hAnsi="Arial" w:cs="Arial"/>
                    </w:rPr>
                  </w:pPr>
                  <w:r w:rsidRPr="00D35713">
                    <w:rPr>
                      <w:rFonts w:ascii="Arial" w:hAnsi="Arial" w:cs="Arial"/>
                    </w:rPr>
                    <w:t>- pomembni strokovni ali umetniški dosežki pravne osebe javnega prava, ki imajo odmev v strokovni javnosti, kot so mednarodna priznanja, izvedba mednarodnih ali nacionalno pomembnih projektov, pridobitev pomembnih certifikatov ali akreditacij in učinkovitejše izvajanje javne službe  z vpeljavo novih tehnoloških rešitev.</w:t>
                  </w:r>
                </w:p>
                <w:p w14:paraId="23B3AAD1" w14:textId="77777777" w:rsidR="00650379" w:rsidRPr="00D35713" w:rsidRDefault="00650379" w:rsidP="00085517">
                  <w:pPr>
                    <w:jc w:val="both"/>
                    <w:rPr>
                      <w:rFonts w:ascii="Arial" w:hAnsi="Arial" w:cs="Arial"/>
                    </w:rPr>
                  </w:pPr>
                </w:p>
                <w:p w14:paraId="10310FBC" w14:textId="77777777" w:rsidR="00650379" w:rsidRPr="00D35713" w:rsidRDefault="00650379" w:rsidP="00085517">
                  <w:pPr>
                    <w:jc w:val="both"/>
                    <w:rPr>
                      <w:rFonts w:ascii="Arial" w:hAnsi="Arial" w:cs="Arial"/>
                    </w:rPr>
                  </w:pPr>
                </w:p>
              </w:tc>
              <w:tc>
                <w:tcPr>
                  <w:tcW w:w="239" w:type="dxa"/>
                </w:tcPr>
                <w:p w14:paraId="0C1F3A8D" w14:textId="77777777" w:rsidR="00650379" w:rsidRPr="00D35713" w:rsidRDefault="00650379" w:rsidP="00085517">
                  <w:pPr>
                    <w:jc w:val="both"/>
                    <w:rPr>
                      <w:rFonts w:ascii="Arial" w:hAnsi="Arial" w:cs="Arial"/>
                    </w:rPr>
                  </w:pPr>
                </w:p>
              </w:tc>
              <w:tc>
                <w:tcPr>
                  <w:tcW w:w="1078" w:type="dxa"/>
                </w:tcPr>
                <w:p w14:paraId="453563B5" w14:textId="39F6B962" w:rsidR="00650379" w:rsidRPr="00D35713" w:rsidRDefault="00650379" w:rsidP="00085517">
                  <w:pPr>
                    <w:jc w:val="both"/>
                    <w:rPr>
                      <w:rFonts w:ascii="Arial" w:hAnsi="Arial" w:cs="Arial"/>
                    </w:rPr>
                  </w:pPr>
                  <w:r w:rsidRPr="00D35713">
                    <w:rPr>
                      <w:rFonts w:ascii="Arial" w:hAnsi="Arial" w:cs="Arial"/>
                    </w:rPr>
                    <w:t>10</w:t>
                  </w:r>
                  <w:r w:rsidR="00D35713" w:rsidRPr="00D35713">
                    <w:rPr>
                      <w:rFonts w:ascii="Arial" w:hAnsi="Arial" w:cs="Arial"/>
                    </w:rPr>
                    <w:t xml:space="preserve"> </w:t>
                  </w:r>
                  <w:r w:rsidRPr="00D35713">
                    <w:rPr>
                      <w:rFonts w:ascii="Arial" w:hAnsi="Arial" w:cs="Arial"/>
                    </w:rPr>
                    <w:t>%</w:t>
                  </w:r>
                </w:p>
                <w:p w14:paraId="2C3EEA60" w14:textId="77777777" w:rsidR="00650379" w:rsidRPr="00D35713" w:rsidRDefault="00650379" w:rsidP="00085517">
                  <w:pPr>
                    <w:jc w:val="both"/>
                    <w:rPr>
                      <w:rFonts w:ascii="Arial" w:hAnsi="Arial" w:cs="Arial"/>
                    </w:rPr>
                  </w:pPr>
                </w:p>
                <w:p w14:paraId="04B233A1" w14:textId="77777777" w:rsidR="00650379" w:rsidRPr="00D35713" w:rsidRDefault="00650379" w:rsidP="00085517">
                  <w:pPr>
                    <w:jc w:val="both"/>
                    <w:rPr>
                      <w:rFonts w:ascii="Arial" w:hAnsi="Arial" w:cs="Arial"/>
                    </w:rPr>
                  </w:pPr>
                  <w:r w:rsidRPr="00D35713">
                    <w:rPr>
                      <w:rFonts w:ascii="Arial" w:hAnsi="Arial" w:cs="Arial"/>
                    </w:rPr>
                    <w:t>do 30 %</w:t>
                  </w:r>
                </w:p>
                <w:p w14:paraId="4373574B" w14:textId="77777777" w:rsidR="00650379" w:rsidRPr="00D35713" w:rsidRDefault="00650379" w:rsidP="00085517">
                  <w:pPr>
                    <w:jc w:val="both"/>
                    <w:rPr>
                      <w:rFonts w:ascii="Arial" w:hAnsi="Arial" w:cs="Arial"/>
                    </w:rPr>
                  </w:pPr>
                </w:p>
                <w:p w14:paraId="3758A388" w14:textId="77777777" w:rsidR="00D35713" w:rsidRDefault="00D35713" w:rsidP="00085517">
                  <w:pPr>
                    <w:jc w:val="both"/>
                    <w:rPr>
                      <w:rFonts w:ascii="Arial" w:hAnsi="Arial" w:cs="Arial"/>
                    </w:rPr>
                  </w:pPr>
                </w:p>
                <w:p w14:paraId="3AE8ADBD" w14:textId="2795C2A3" w:rsidR="00650379" w:rsidRPr="00D35713" w:rsidRDefault="00650379" w:rsidP="00085517">
                  <w:pPr>
                    <w:jc w:val="both"/>
                    <w:rPr>
                      <w:rFonts w:ascii="Arial" w:hAnsi="Arial" w:cs="Arial"/>
                    </w:rPr>
                  </w:pPr>
                  <w:r w:rsidRPr="00D35713">
                    <w:rPr>
                      <w:rFonts w:ascii="Arial" w:hAnsi="Arial" w:cs="Arial"/>
                    </w:rPr>
                    <w:t>do 30 %</w:t>
                  </w:r>
                </w:p>
                <w:p w14:paraId="0B5E0F2B" w14:textId="77777777" w:rsidR="00650379" w:rsidRPr="00D35713" w:rsidRDefault="00650379" w:rsidP="00085517">
                  <w:pPr>
                    <w:jc w:val="both"/>
                    <w:rPr>
                      <w:rFonts w:ascii="Arial" w:hAnsi="Arial" w:cs="Arial"/>
                    </w:rPr>
                  </w:pPr>
                </w:p>
                <w:p w14:paraId="3278A07D" w14:textId="77777777" w:rsidR="00650379" w:rsidRPr="00D35713" w:rsidRDefault="00650379" w:rsidP="00085517">
                  <w:pPr>
                    <w:jc w:val="both"/>
                    <w:rPr>
                      <w:rFonts w:ascii="Arial" w:hAnsi="Arial" w:cs="Arial"/>
                    </w:rPr>
                  </w:pPr>
                </w:p>
                <w:p w14:paraId="58B1BA45" w14:textId="77777777" w:rsidR="00650379" w:rsidRPr="00D35713" w:rsidRDefault="00650379" w:rsidP="00085517">
                  <w:pPr>
                    <w:jc w:val="both"/>
                    <w:rPr>
                      <w:rFonts w:ascii="Arial" w:hAnsi="Arial" w:cs="Arial"/>
                    </w:rPr>
                  </w:pPr>
                </w:p>
                <w:p w14:paraId="7C9DC8D4" w14:textId="77777777" w:rsidR="00D35713" w:rsidRPr="00D35713" w:rsidRDefault="00D35713" w:rsidP="00085517">
                  <w:pPr>
                    <w:jc w:val="both"/>
                    <w:rPr>
                      <w:rFonts w:ascii="Arial" w:hAnsi="Arial" w:cs="Arial"/>
                    </w:rPr>
                  </w:pPr>
                </w:p>
                <w:p w14:paraId="192005D9" w14:textId="6D94B2D7" w:rsidR="00650379" w:rsidRPr="00D35713" w:rsidRDefault="00650379" w:rsidP="00085517">
                  <w:pPr>
                    <w:jc w:val="both"/>
                    <w:rPr>
                      <w:rFonts w:ascii="Arial" w:hAnsi="Arial" w:cs="Arial"/>
                    </w:rPr>
                  </w:pPr>
                  <w:r w:rsidRPr="00D35713">
                    <w:rPr>
                      <w:rFonts w:ascii="Arial" w:hAnsi="Arial" w:cs="Arial"/>
                    </w:rPr>
                    <w:t>do 30 %</w:t>
                  </w:r>
                </w:p>
              </w:tc>
            </w:tr>
          </w:tbl>
          <w:p w14:paraId="13A0006D" w14:textId="1C9FD896" w:rsidR="00650379" w:rsidRPr="00D35713" w:rsidRDefault="00650379" w:rsidP="003B54C1">
            <w:pPr>
              <w:jc w:val="both"/>
              <w:rPr>
                <w:rFonts w:ascii="Arial" w:hAnsi="Arial" w:cs="Arial"/>
              </w:rPr>
            </w:pPr>
          </w:p>
        </w:tc>
      </w:tr>
    </w:tbl>
    <w:p w14:paraId="19D39C38" w14:textId="3D4D88B6" w:rsidR="00723CB8" w:rsidRPr="00D35713" w:rsidRDefault="009F7D5B" w:rsidP="00650379">
      <w:pPr>
        <w:jc w:val="center"/>
        <w:rPr>
          <w:rFonts w:ascii="Arial" w:hAnsi="Arial" w:cs="Arial"/>
          <w:b/>
          <w:bCs/>
        </w:rPr>
      </w:pPr>
      <w:r w:rsidRPr="00D35713">
        <w:rPr>
          <w:rFonts w:ascii="Arial" w:hAnsi="Arial" w:cs="Arial"/>
          <w:b/>
          <w:bCs/>
        </w:rPr>
        <w:lastRenderedPageBreak/>
        <w:t>4</w:t>
      </w:r>
      <w:r w:rsidR="00723CB8" w:rsidRPr="00D35713">
        <w:rPr>
          <w:rFonts w:ascii="Arial" w:hAnsi="Arial" w:cs="Arial"/>
          <w:b/>
          <w:bCs/>
        </w:rPr>
        <w:t>. člen</w:t>
      </w:r>
    </w:p>
    <w:p w14:paraId="661CBD86" w14:textId="77777777" w:rsidR="00723CB8" w:rsidRPr="00D35713" w:rsidRDefault="00723CB8" w:rsidP="00B83D62">
      <w:pPr>
        <w:jc w:val="center"/>
        <w:rPr>
          <w:rFonts w:ascii="Arial" w:hAnsi="Arial" w:cs="Arial"/>
          <w:b/>
          <w:bCs/>
        </w:rPr>
      </w:pPr>
      <w:r w:rsidRPr="00D35713">
        <w:rPr>
          <w:rFonts w:ascii="Arial" w:hAnsi="Arial" w:cs="Arial"/>
          <w:b/>
          <w:bCs/>
        </w:rPr>
        <w:t>(doseganje deleža nejavnih prihodkov za javno službo v celotnem letnem prihodku)</w:t>
      </w:r>
    </w:p>
    <w:p w14:paraId="779FABD2" w14:textId="7729798B" w:rsidR="00723CB8" w:rsidRPr="00D35713" w:rsidRDefault="00066032" w:rsidP="00066032">
      <w:pPr>
        <w:jc w:val="both"/>
        <w:rPr>
          <w:rFonts w:ascii="Arial" w:hAnsi="Arial" w:cs="Arial"/>
        </w:rPr>
      </w:pPr>
      <w:r w:rsidRPr="00D35713">
        <w:rPr>
          <w:rFonts w:ascii="Arial" w:hAnsi="Arial" w:cs="Arial"/>
        </w:rPr>
        <w:t xml:space="preserve">(1) </w:t>
      </w:r>
      <w:r w:rsidR="00723CB8" w:rsidRPr="00D35713">
        <w:rPr>
          <w:rFonts w:ascii="Arial" w:hAnsi="Arial" w:cs="Arial"/>
        </w:rPr>
        <w:t xml:space="preserve">Vrednotenje deleža nejavnih prihodkov za javno službo v celotnem letnem prihodku </w:t>
      </w:r>
      <w:r w:rsidRPr="00D35713">
        <w:rPr>
          <w:rFonts w:ascii="Arial" w:hAnsi="Arial" w:cs="Arial"/>
        </w:rPr>
        <w:t xml:space="preserve">za pravne osebe javnega prava s področja kulture, razen na področju arhivov in knjižnic, </w:t>
      </w:r>
      <w:r w:rsidR="00723CB8" w:rsidRPr="00D35713">
        <w:rPr>
          <w:rFonts w:ascii="Arial" w:hAnsi="Arial" w:cs="Arial"/>
        </w:rPr>
        <w:t>se izvede po naslednji lestvici:</w:t>
      </w:r>
    </w:p>
    <w:p w14:paraId="268C5EBD" w14:textId="77777777" w:rsidR="00066032" w:rsidRPr="00D35713" w:rsidRDefault="00066032" w:rsidP="00066032">
      <w:pPr>
        <w:pStyle w:val="Odstavekseznama"/>
        <w:spacing w:after="0"/>
        <w:jc w:val="both"/>
        <w:rPr>
          <w:rFonts w:ascii="Arial" w:hAnsi="Arial" w:cs="Arial"/>
        </w:rPr>
      </w:pPr>
    </w:p>
    <w:p w14:paraId="438F97F1" w14:textId="77777777" w:rsidR="00723CB8" w:rsidRPr="00D35713" w:rsidRDefault="00723CB8" w:rsidP="005D54D3">
      <w:pPr>
        <w:jc w:val="both"/>
        <w:rPr>
          <w:rFonts w:ascii="Arial" w:hAnsi="Arial" w:cs="Arial"/>
        </w:rPr>
      </w:pPr>
      <w:r w:rsidRPr="00D35713">
        <w:rPr>
          <w:rFonts w:ascii="Arial" w:hAnsi="Arial" w:cs="Arial"/>
        </w:rPr>
        <w:t>-       do 5-odstotni delež prinese 5 odstotnih točk,</w:t>
      </w:r>
    </w:p>
    <w:p w14:paraId="76C4CDBE" w14:textId="77777777" w:rsidR="00723CB8" w:rsidRPr="00D35713" w:rsidRDefault="00723CB8" w:rsidP="005D54D3">
      <w:pPr>
        <w:jc w:val="both"/>
        <w:rPr>
          <w:rFonts w:ascii="Arial" w:hAnsi="Arial" w:cs="Arial"/>
        </w:rPr>
      </w:pPr>
      <w:r w:rsidRPr="00D35713">
        <w:rPr>
          <w:rFonts w:ascii="Arial" w:hAnsi="Arial" w:cs="Arial"/>
        </w:rPr>
        <w:t>-       od 5 do 10-odstotni delež prinese 10 odstotnih točk,</w:t>
      </w:r>
    </w:p>
    <w:p w14:paraId="7715E004" w14:textId="77777777" w:rsidR="00723CB8" w:rsidRPr="00D35713" w:rsidRDefault="00723CB8" w:rsidP="005D54D3">
      <w:pPr>
        <w:jc w:val="both"/>
        <w:rPr>
          <w:rFonts w:ascii="Arial" w:hAnsi="Arial" w:cs="Arial"/>
        </w:rPr>
      </w:pPr>
      <w:r w:rsidRPr="00D35713">
        <w:rPr>
          <w:rFonts w:ascii="Arial" w:hAnsi="Arial" w:cs="Arial"/>
        </w:rPr>
        <w:t>-       od 10 do 15-odstotni delež prinese 15 odstotnih točk,</w:t>
      </w:r>
    </w:p>
    <w:p w14:paraId="1D3FEC2C" w14:textId="276DD0B1" w:rsidR="00723CB8" w:rsidRPr="00D35713" w:rsidRDefault="00723CB8" w:rsidP="005D54D3">
      <w:pPr>
        <w:jc w:val="both"/>
        <w:rPr>
          <w:rFonts w:ascii="Arial" w:hAnsi="Arial" w:cs="Arial"/>
        </w:rPr>
      </w:pPr>
      <w:r w:rsidRPr="00D35713">
        <w:rPr>
          <w:rFonts w:ascii="Arial" w:hAnsi="Arial" w:cs="Arial"/>
        </w:rPr>
        <w:t xml:space="preserve">-       15-odstotni ali višji delež prinese </w:t>
      </w:r>
      <w:r w:rsidR="00300D3D" w:rsidRPr="00D35713">
        <w:rPr>
          <w:rFonts w:ascii="Arial" w:hAnsi="Arial" w:cs="Arial"/>
        </w:rPr>
        <w:t>3</w:t>
      </w:r>
      <w:r w:rsidRPr="00D35713">
        <w:rPr>
          <w:rFonts w:ascii="Arial" w:hAnsi="Arial" w:cs="Arial"/>
        </w:rPr>
        <w:t xml:space="preserve">0 odstotnih točk. </w:t>
      </w:r>
    </w:p>
    <w:p w14:paraId="205C776E" w14:textId="77777777" w:rsidR="00300D3D" w:rsidRPr="00D35713" w:rsidRDefault="00300D3D" w:rsidP="00300D3D">
      <w:pPr>
        <w:spacing w:after="0"/>
        <w:jc w:val="both"/>
        <w:rPr>
          <w:rFonts w:ascii="Arial" w:hAnsi="Arial" w:cs="Arial"/>
        </w:rPr>
      </w:pPr>
    </w:p>
    <w:p w14:paraId="38540B0F" w14:textId="3845728D" w:rsidR="00723CB8" w:rsidRPr="00D35713" w:rsidRDefault="00723CB8" w:rsidP="00300D3D">
      <w:pPr>
        <w:spacing w:after="0"/>
        <w:jc w:val="both"/>
        <w:rPr>
          <w:rFonts w:ascii="Arial" w:hAnsi="Arial" w:cs="Arial"/>
        </w:rPr>
      </w:pPr>
      <w:r w:rsidRPr="00D35713">
        <w:rPr>
          <w:rFonts w:ascii="Arial" w:hAnsi="Arial" w:cs="Arial"/>
        </w:rPr>
        <w:t xml:space="preserve">(2) </w:t>
      </w:r>
      <w:r w:rsidR="00066032" w:rsidRPr="00D35713">
        <w:rPr>
          <w:rFonts w:ascii="Arial" w:hAnsi="Arial" w:cs="Arial"/>
        </w:rPr>
        <w:t>Na</w:t>
      </w:r>
      <w:r w:rsidRPr="00D35713">
        <w:rPr>
          <w:rFonts w:ascii="Arial" w:hAnsi="Arial" w:cs="Arial"/>
        </w:rPr>
        <w:t xml:space="preserve"> področju arhivov </w:t>
      </w:r>
      <w:r w:rsidR="00066032" w:rsidRPr="00D35713">
        <w:rPr>
          <w:rFonts w:ascii="Arial" w:hAnsi="Arial" w:cs="Arial"/>
        </w:rPr>
        <w:t xml:space="preserve">se </w:t>
      </w:r>
      <w:r w:rsidRPr="00D35713">
        <w:rPr>
          <w:rFonts w:ascii="Arial" w:hAnsi="Arial" w:cs="Arial"/>
        </w:rPr>
        <w:t>vrednotenje izvede po naslednji lestvici:</w:t>
      </w:r>
    </w:p>
    <w:p w14:paraId="2F0A6E72" w14:textId="77777777" w:rsidR="00066032" w:rsidRPr="00D35713" w:rsidRDefault="00066032" w:rsidP="00300D3D">
      <w:pPr>
        <w:spacing w:after="0"/>
        <w:jc w:val="both"/>
        <w:rPr>
          <w:rFonts w:ascii="Arial" w:hAnsi="Arial" w:cs="Arial"/>
        </w:rPr>
      </w:pPr>
    </w:p>
    <w:p w14:paraId="0B390556" w14:textId="77777777" w:rsidR="00723CB8" w:rsidRPr="00D35713" w:rsidRDefault="00723CB8" w:rsidP="00FD2B7F">
      <w:pPr>
        <w:jc w:val="both"/>
        <w:rPr>
          <w:rFonts w:ascii="Arial" w:hAnsi="Arial" w:cs="Arial"/>
        </w:rPr>
      </w:pPr>
      <w:r w:rsidRPr="00D35713">
        <w:rPr>
          <w:rFonts w:ascii="Arial" w:hAnsi="Arial" w:cs="Arial"/>
        </w:rPr>
        <w:t>-       do 1-odstotni delež prinese 5 odstotnih točk,</w:t>
      </w:r>
    </w:p>
    <w:p w14:paraId="258E6147" w14:textId="77777777" w:rsidR="00723CB8" w:rsidRPr="00D35713" w:rsidRDefault="00723CB8" w:rsidP="00FD2B7F">
      <w:pPr>
        <w:jc w:val="both"/>
        <w:rPr>
          <w:rFonts w:ascii="Arial" w:hAnsi="Arial" w:cs="Arial"/>
        </w:rPr>
      </w:pPr>
      <w:r w:rsidRPr="00D35713">
        <w:rPr>
          <w:rFonts w:ascii="Arial" w:hAnsi="Arial" w:cs="Arial"/>
        </w:rPr>
        <w:t>-       od 1 do 3-odstotni delež prinese 10 odstotnih točk,</w:t>
      </w:r>
    </w:p>
    <w:p w14:paraId="62369AA3" w14:textId="77777777" w:rsidR="00723CB8" w:rsidRPr="00D35713" w:rsidRDefault="00723CB8" w:rsidP="00FD2B7F">
      <w:pPr>
        <w:jc w:val="both"/>
        <w:rPr>
          <w:rFonts w:ascii="Arial" w:hAnsi="Arial" w:cs="Arial"/>
        </w:rPr>
      </w:pPr>
      <w:r w:rsidRPr="00D35713">
        <w:rPr>
          <w:rFonts w:ascii="Arial" w:hAnsi="Arial" w:cs="Arial"/>
        </w:rPr>
        <w:t>-       od 3 do 5-odstotni delež prinese 15 odstotnih točk,</w:t>
      </w:r>
    </w:p>
    <w:p w14:paraId="63D741BE" w14:textId="0871065E" w:rsidR="00723CB8" w:rsidRPr="00D35713" w:rsidRDefault="00723CB8" w:rsidP="00FD2B7F">
      <w:pPr>
        <w:jc w:val="both"/>
        <w:rPr>
          <w:rFonts w:ascii="Arial" w:hAnsi="Arial" w:cs="Arial"/>
        </w:rPr>
      </w:pPr>
      <w:r w:rsidRPr="00D35713">
        <w:rPr>
          <w:rFonts w:ascii="Arial" w:hAnsi="Arial" w:cs="Arial"/>
        </w:rPr>
        <w:t xml:space="preserve">-       5-odstotni ali višji delež prinese </w:t>
      </w:r>
      <w:r w:rsidR="00300D3D" w:rsidRPr="00D35713">
        <w:rPr>
          <w:rFonts w:ascii="Arial" w:hAnsi="Arial" w:cs="Arial"/>
        </w:rPr>
        <w:t>3</w:t>
      </w:r>
      <w:r w:rsidRPr="00D35713">
        <w:rPr>
          <w:rFonts w:ascii="Arial" w:hAnsi="Arial" w:cs="Arial"/>
        </w:rPr>
        <w:t>0 odstotnih točk.</w:t>
      </w:r>
    </w:p>
    <w:p w14:paraId="78BF3F9D" w14:textId="77777777" w:rsidR="00FD2B7F" w:rsidRPr="00D35713" w:rsidRDefault="00FD2B7F" w:rsidP="006021CC">
      <w:pPr>
        <w:spacing w:after="0"/>
        <w:jc w:val="both"/>
        <w:rPr>
          <w:rFonts w:ascii="Arial" w:hAnsi="Arial" w:cs="Arial"/>
        </w:rPr>
      </w:pPr>
    </w:p>
    <w:p w14:paraId="136DB24C" w14:textId="24DAA88C" w:rsidR="006021CC" w:rsidRPr="00D35713" w:rsidRDefault="006021CC" w:rsidP="004937FE">
      <w:pPr>
        <w:jc w:val="both"/>
        <w:rPr>
          <w:rFonts w:ascii="Arial" w:hAnsi="Arial" w:cs="Arial"/>
        </w:rPr>
      </w:pPr>
      <w:r w:rsidRPr="00D35713">
        <w:rPr>
          <w:rFonts w:ascii="Arial" w:hAnsi="Arial" w:cs="Arial"/>
        </w:rPr>
        <w:t>(3) N</w:t>
      </w:r>
      <w:r w:rsidR="00066032" w:rsidRPr="00D35713">
        <w:rPr>
          <w:rFonts w:ascii="Arial" w:hAnsi="Arial" w:cs="Arial"/>
        </w:rPr>
        <w:t>a področju</w:t>
      </w:r>
      <w:r w:rsidRPr="00D35713">
        <w:rPr>
          <w:rFonts w:ascii="Arial" w:hAnsi="Arial" w:cs="Arial"/>
        </w:rPr>
        <w:t xml:space="preserve"> knjižnic</w:t>
      </w:r>
      <w:r w:rsidR="00066032" w:rsidRPr="00D35713">
        <w:rPr>
          <w:rFonts w:ascii="Arial" w:hAnsi="Arial" w:cs="Arial"/>
        </w:rPr>
        <w:t xml:space="preserve"> se</w:t>
      </w:r>
      <w:r w:rsidRPr="00D35713">
        <w:rPr>
          <w:rFonts w:ascii="Arial" w:hAnsi="Arial" w:cs="Arial"/>
        </w:rPr>
        <w:t xml:space="preserve"> vrednotenje izvede po naslednji lestvici:</w:t>
      </w:r>
    </w:p>
    <w:p w14:paraId="667D5099" w14:textId="548BF204" w:rsidR="00FD2B7F" w:rsidRPr="00D35713" w:rsidRDefault="00FD2B7F" w:rsidP="00FD2B7F">
      <w:pPr>
        <w:jc w:val="both"/>
        <w:rPr>
          <w:rFonts w:ascii="Arial" w:hAnsi="Arial" w:cs="Arial"/>
        </w:rPr>
      </w:pPr>
      <w:r w:rsidRPr="00D35713">
        <w:rPr>
          <w:rFonts w:ascii="Arial" w:hAnsi="Arial" w:cs="Arial"/>
        </w:rPr>
        <w:t>-       do 3-odstotni delež prinese 5 odstotnih točk,</w:t>
      </w:r>
    </w:p>
    <w:p w14:paraId="7089F850" w14:textId="59F1D779" w:rsidR="00FD2B7F" w:rsidRPr="00D35713" w:rsidRDefault="00FD2B7F" w:rsidP="00FD2B7F">
      <w:pPr>
        <w:jc w:val="both"/>
        <w:rPr>
          <w:rFonts w:ascii="Arial" w:hAnsi="Arial" w:cs="Arial"/>
        </w:rPr>
      </w:pPr>
      <w:r w:rsidRPr="00D35713">
        <w:rPr>
          <w:rFonts w:ascii="Arial" w:hAnsi="Arial" w:cs="Arial"/>
        </w:rPr>
        <w:t>-       od 3 do 5-odstotni delež prinese 10 odstotnih točk,</w:t>
      </w:r>
    </w:p>
    <w:p w14:paraId="78080321" w14:textId="72BF16B9" w:rsidR="00FD2B7F" w:rsidRPr="00D35713" w:rsidRDefault="00FD2B7F" w:rsidP="00FD2B7F">
      <w:pPr>
        <w:jc w:val="both"/>
        <w:rPr>
          <w:rFonts w:ascii="Arial" w:hAnsi="Arial" w:cs="Arial"/>
        </w:rPr>
      </w:pPr>
      <w:r w:rsidRPr="00D35713">
        <w:rPr>
          <w:rFonts w:ascii="Arial" w:hAnsi="Arial" w:cs="Arial"/>
        </w:rPr>
        <w:t>-       od 5 do 7-odstotni delež prinese 20 odstotnih točk,</w:t>
      </w:r>
    </w:p>
    <w:p w14:paraId="01BE807B" w14:textId="6B953115" w:rsidR="006021CC" w:rsidRPr="00D35713" w:rsidRDefault="00FD2B7F" w:rsidP="00FD2B7F">
      <w:pPr>
        <w:jc w:val="both"/>
        <w:rPr>
          <w:rFonts w:ascii="Arial" w:hAnsi="Arial" w:cs="Arial"/>
        </w:rPr>
      </w:pPr>
      <w:r w:rsidRPr="00D35713">
        <w:rPr>
          <w:rFonts w:ascii="Arial" w:hAnsi="Arial" w:cs="Arial"/>
        </w:rPr>
        <w:t>-       7-odstotni ali višji delež prinese 30 odstotnih točk.</w:t>
      </w:r>
    </w:p>
    <w:p w14:paraId="4F7D6D36" w14:textId="77777777" w:rsidR="00723CB8" w:rsidRPr="00D35713" w:rsidRDefault="00723CB8" w:rsidP="005A6413">
      <w:pPr>
        <w:jc w:val="both"/>
        <w:rPr>
          <w:rFonts w:ascii="Arial" w:hAnsi="Arial" w:cs="Arial"/>
          <w:b/>
          <w:bCs/>
        </w:rPr>
      </w:pPr>
    </w:p>
    <w:p w14:paraId="4CA71220" w14:textId="420E918D" w:rsidR="005A544F" w:rsidRPr="00D35713" w:rsidRDefault="009F7D5B" w:rsidP="00B83D62">
      <w:pPr>
        <w:jc w:val="center"/>
        <w:rPr>
          <w:rFonts w:ascii="Arial" w:hAnsi="Arial" w:cs="Arial"/>
          <w:b/>
          <w:bCs/>
        </w:rPr>
      </w:pPr>
      <w:r w:rsidRPr="00D35713">
        <w:rPr>
          <w:rFonts w:ascii="Arial" w:hAnsi="Arial" w:cs="Arial"/>
          <w:b/>
          <w:bCs/>
        </w:rPr>
        <w:t>5</w:t>
      </w:r>
      <w:r w:rsidR="005A544F" w:rsidRPr="00D35713">
        <w:rPr>
          <w:rFonts w:ascii="Arial" w:hAnsi="Arial" w:cs="Arial"/>
          <w:b/>
          <w:bCs/>
        </w:rPr>
        <w:t>. člen</w:t>
      </w:r>
    </w:p>
    <w:p w14:paraId="7D975C0F" w14:textId="7A4DF0EA" w:rsidR="005A544F" w:rsidRPr="00D35713" w:rsidRDefault="005A544F" w:rsidP="00B83D62">
      <w:pPr>
        <w:jc w:val="center"/>
        <w:rPr>
          <w:rFonts w:ascii="Arial" w:hAnsi="Arial" w:cs="Arial"/>
          <w:b/>
          <w:bCs/>
        </w:rPr>
      </w:pPr>
      <w:r w:rsidRPr="00D35713">
        <w:rPr>
          <w:rFonts w:ascii="Arial" w:hAnsi="Arial" w:cs="Arial"/>
          <w:b/>
          <w:bCs/>
        </w:rPr>
        <w:lastRenderedPageBreak/>
        <w:t>(posebni kriterij za določitev dela plače za delovno uspešnost)</w:t>
      </w:r>
    </w:p>
    <w:p w14:paraId="47E7A90B" w14:textId="37EED7AA" w:rsidR="00567D96" w:rsidRPr="00D35713" w:rsidRDefault="00567D96" w:rsidP="005A6413">
      <w:pPr>
        <w:jc w:val="both"/>
        <w:rPr>
          <w:rFonts w:ascii="Arial" w:hAnsi="Arial" w:cs="Arial"/>
        </w:rPr>
      </w:pPr>
      <w:r w:rsidRPr="00D35713">
        <w:rPr>
          <w:rFonts w:ascii="Arial" w:hAnsi="Arial" w:cs="Arial"/>
        </w:rPr>
        <w:t>(</w:t>
      </w:r>
      <w:r w:rsidR="005A544F" w:rsidRPr="00D35713">
        <w:rPr>
          <w:rFonts w:ascii="Arial" w:hAnsi="Arial" w:cs="Arial"/>
        </w:rPr>
        <w:t>1</w:t>
      </w:r>
      <w:r w:rsidRPr="00D35713">
        <w:rPr>
          <w:rFonts w:ascii="Arial" w:hAnsi="Arial" w:cs="Arial"/>
        </w:rPr>
        <w:t xml:space="preserve">) Kot posebni kriterij </w:t>
      </w:r>
      <w:r w:rsidR="009F7D5B" w:rsidRPr="00D35713">
        <w:rPr>
          <w:rFonts w:ascii="Arial" w:hAnsi="Arial" w:cs="Arial"/>
        </w:rPr>
        <w:t xml:space="preserve">za določitev dela plače za delovno uspešnost </w:t>
      </w:r>
      <w:r w:rsidRPr="00D35713">
        <w:rPr>
          <w:rFonts w:ascii="Arial" w:hAnsi="Arial" w:cs="Arial"/>
        </w:rPr>
        <w:t>se upošteva opravljanje dodatnega dela ali večji obseg dela zaradi odsotnih javnih uslužbencev ali nezasedenih delovnih mest</w:t>
      </w:r>
      <w:r w:rsidR="005A544F" w:rsidRPr="00D35713">
        <w:rPr>
          <w:rFonts w:ascii="Arial" w:hAnsi="Arial" w:cs="Arial"/>
        </w:rPr>
        <w:t xml:space="preserve">. Javni uslužbenec plačne skupine B izpolni ta kriterij, kadar </w:t>
      </w:r>
      <w:r w:rsidR="0078484A" w:rsidRPr="00D35713">
        <w:rPr>
          <w:rFonts w:ascii="Arial" w:hAnsi="Arial" w:cs="Arial"/>
        </w:rPr>
        <w:t xml:space="preserve">zaradi nemotenega delovnega procesa </w:t>
      </w:r>
      <w:r w:rsidR="001C4BBA" w:rsidRPr="00D35713">
        <w:rPr>
          <w:rFonts w:ascii="Arial" w:hAnsi="Arial" w:cs="Arial"/>
        </w:rPr>
        <w:t xml:space="preserve">dalj časa </w:t>
      </w:r>
      <w:r w:rsidR="005A544F" w:rsidRPr="00D35713">
        <w:rPr>
          <w:rFonts w:ascii="Arial" w:hAnsi="Arial" w:cs="Arial"/>
        </w:rPr>
        <w:t>o</w:t>
      </w:r>
      <w:r w:rsidR="005A6413" w:rsidRPr="00D35713">
        <w:rPr>
          <w:rFonts w:ascii="Arial" w:hAnsi="Arial" w:cs="Arial"/>
        </w:rPr>
        <w:t>pravlja večji obseg dela oziroma dodatne naloge zaradi odsotnega javnega uslužbenca, pri čemer prevzame naloge tega javnega uslužbenca v celoti ali deloma</w:t>
      </w:r>
      <w:r w:rsidR="005A544F" w:rsidRPr="00D35713">
        <w:rPr>
          <w:rFonts w:ascii="Arial" w:hAnsi="Arial" w:cs="Arial"/>
        </w:rPr>
        <w:t>,</w:t>
      </w:r>
      <w:r w:rsidR="005A6413" w:rsidRPr="00D35713">
        <w:rPr>
          <w:rFonts w:ascii="Arial" w:hAnsi="Arial" w:cs="Arial"/>
        </w:rPr>
        <w:t xml:space="preserve"> </w:t>
      </w:r>
      <w:r w:rsidR="005A544F" w:rsidRPr="00D35713">
        <w:rPr>
          <w:rFonts w:ascii="Arial" w:hAnsi="Arial" w:cs="Arial"/>
        </w:rPr>
        <w:t xml:space="preserve">ali ko </w:t>
      </w:r>
      <w:r w:rsidR="001C4BBA" w:rsidRPr="00D35713">
        <w:rPr>
          <w:rFonts w:ascii="Arial" w:hAnsi="Arial" w:cs="Arial"/>
        </w:rPr>
        <w:t xml:space="preserve">dalj časa </w:t>
      </w:r>
      <w:r w:rsidR="005A6413" w:rsidRPr="00D35713">
        <w:rPr>
          <w:rFonts w:ascii="Arial" w:hAnsi="Arial" w:cs="Arial"/>
        </w:rPr>
        <w:t>opravlja večji obseg dela oziroma dodatne naloge, ker delovno mesto, ki je</w:t>
      </w:r>
      <w:r w:rsidR="002A6A9A" w:rsidRPr="00D35713">
        <w:rPr>
          <w:rFonts w:ascii="Arial" w:hAnsi="Arial" w:cs="Arial"/>
        </w:rPr>
        <w:t xml:space="preserve"> v kadrovskem načrtu predvideno za zasedbo in so zanj v finančnem načrtu zagotovljena sredstva za zasedbo ter ostaja nezasedeno kljub izvedenemu postopku za zasedbo delovnega mesta</w:t>
      </w:r>
      <w:r w:rsidR="005A6413" w:rsidRPr="00D35713">
        <w:rPr>
          <w:rFonts w:ascii="Arial" w:hAnsi="Arial" w:cs="Arial"/>
        </w:rPr>
        <w:t>, dejansko ni zasedeno z javnim uslužbencem</w:t>
      </w:r>
      <w:r w:rsidR="005A544F" w:rsidRPr="00D35713">
        <w:rPr>
          <w:rFonts w:ascii="Arial" w:hAnsi="Arial" w:cs="Arial"/>
        </w:rPr>
        <w:t>.</w:t>
      </w:r>
    </w:p>
    <w:p w14:paraId="29629860" w14:textId="392A7321" w:rsidR="00F6526C" w:rsidRPr="00D35713" w:rsidRDefault="00F6526C" w:rsidP="00F6526C">
      <w:pPr>
        <w:jc w:val="both"/>
        <w:rPr>
          <w:rFonts w:ascii="Arial" w:hAnsi="Arial" w:cs="Arial"/>
        </w:rPr>
      </w:pPr>
      <w:r w:rsidRPr="00D35713">
        <w:rPr>
          <w:rFonts w:ascii="Arial" w:hAnsi="Arial" w:cs="Arial"/>
          <w:color w:val="000000" w:themeColor="text1"/>
        </w:rPr>
        <w:t>(</w:t>
      </w:r>
      <w:r w:rsidR="005A544F" w:rsidRPr="00D35713">
        <w:rPr>
          <w:rFonts w:ascii="Arial" w:hAnsi="Arial" w:cs="Arial"/>
          <w:color w:val="000000" w:themeColor="text1"/>
        </w:rPr>
        <w:t>2</w:t>
      </w:r>
      <w:r w:rsidRPr="00D35713">
        <w:rPr>
          <w:rFonts w:ascii="Arial" w:hAnsi="Arial" w:cs="Arial"/>
          <w:color w:val="000000" w:themeColor="text1"/>
        </w:rPr>
        <w:t xml:space="preserve">) </w:t>
      </w:r>
      <w:r w:rsidR="005A544F" w:rsidRPr="00D35713">
        <w:rPr>
          <w:rFonts w:ascii="Arial" w:hAnsi="Arial" w:cs="Arial"/>
          <w:color w:val="000000" w:themeColor="text1"/>
        </w:rPr>
        <w:t>V primeru izpolnitve posebnega kriterija iz prejšnjega odstavka</w:t>
      </w:r>
      <w:r w:rsidRPr="00D35713">
        <w:rPr>
          <w:rFonts w:ascii="Arial" w:hAnsi="Arial" w:cs="Arial"/>
        </w:rPr>
        <w:t xml:space="preserve"> se lahko doseže največ </w:t>
      </w:r>
      <w:r w:rsidR="0078484A" w:rsidRPr="00D35713">
        <w:rPr>
          <w:rFonts w:ascii="Arial" w:hAnsi="Arial" w:cs="Arial"/>
        </w:rPr>
        <w:t>do 20</w:t>
      </w:r>
      <w:r w:rsidRPr="00D35713">
        <w:rPr>
          <w:rFonts w:ascii="Arial" w:hAnsi="Arial" w:cs="Arial"/>
        </w:rPr>
        <w:t xml:space="preserve"> odstotnih točk</w:t>
      </w:r>
      <w:r w:rsidR="003B54C1" w:rsidRPr="00D35713">
        <w:rPr>
          <w:rFonts w:ascii="Arial" w:hAnsi="Arial" w:cs="Arial"/>
        </w:rPr>
        <w:t>.</w:t>
      </w:r>
      <w:r w:rsidRPr="00D35713">
        <w:rPr>
          <w:rFonts w:ascii="Arial" w:hAnsi="Arial" w:cs="Arial"/>
        </w:rPr>
        <w:t xml:space="preserve"> </w:t>
      </w:r>
    </w:p>
    <w:p w14:paraId="56DA34A3" w14:textId="77777777" w:rsidR="00F555C8" w:rsidRPr="00D35713" w:rsidRDefault="00F555C8" w:rsidP="00567D96">
      <w:pPr>
        <w:jc w:val="both"/>
        <w:rPr>
          <w:rFonts w:ascii="Arial" w:hAnsi="Arial" w:cs="Arial"/>
          <w:b/>
          <w:bCs/>
        </w:rPr>
      </w:pPr>
    </w:p>
    <w:p w14:paraId="38182651" w14:textId="16BD9F8B" w:rsidR="00567D96" w:rsidRPr="00D35713" w:rsidRDefault="00F555C8" w:rsidP="00B83D62">
      <w:pPr>
        <w:jc w:val="center"/>
        <w:rPr>
          <w:rFonts w:ascii="Arial" w:hAnsi="Arial" w:cs="Arial"/>
          <w:b/>
          <w:bCs/>
        </w:rPr>
      </w:pPr>
      <w:r w:rsidRPr="00D35713">
        <w:rPr>
          <w:rFonts w:ascii="Arial" w:hAnsi="Arial" w:cs="Arial"/>
          <w:b/>
          <w:bCs/>
        </w:rPr>
        <w:t>6</w:t>
      </w:r>
      <w:r w:rsidR="00567D96" w:rsidRPr="00D35713">
        <w:rPr>
          <w:rFonts w:ascii="Arial" w:hAnsi="Arial" w:cs="Arial"/>
          <w:b/>
          <w:bCs/>
        </w:rPr>
        <w:t>. člen</w:t>
      </w:r>
    </w:p>
    <w:p w14:paraId="1182CF04" w14:textId="77777777" w:rsidR="00567D96" w:rsidRPr="00D35713" w:rsidRDefault="00567D96" w:rsidP="00B83D62">
      <w:pPr>
        <w:jc w:val="center"/>
        <w:rPr>
          <w:rFonts w:ascii="Arial" w:hAnsi="Arial" w:cs="Arial"/>
          <w:b/>
          <w:bCs/>
        </w:rPr>
      </w:pPr>
      <w:r w:rsidRPr="00D35713">
        <w:rPr>
          <w:rFonts w:ascii="Arial" w:hAnsi="Arial" w:cs="Arial"/>
          <w:b/>
          <w:bCs/>
        </w:rPr>
        <w:t>(izračun dela plače za delovno uspešnost)</w:t>
      </w:r>
    </w:p>
    <w:p w14:paraId="624C7AE8" w14:textId="7ECF9655" w:rsidR="00567D96" w:rsidRPr="00D35713" w:rsidRDefault="00567D96" w:rsidP="00567D96">
      <w:pPr>
        <w:jc w:val="both"/>
        <w:rPr>
          <w:rFonts w:ascii="Arial" w:hAnsi="Arial" w:cs="Arial"/>
        </w:rPr>
      </w:pPr>
      <w:r w:rsidRPr="00D35713">
        <w:rPr>
          <w:rFonts w:ascii="Arial" w:hAnsi="Arial" w:cs="Arial"/>
        </w:rPr>
        <w:t>(1) Odstotne točke, dosežene na podlagi kriterijev iz 3. člena</w:t>
      </w:r>
      <w:r w:rsidR="009A36E7" w:rsidRPr="00D35713">
        <w:rPr>
          <w:rFonts w:ascii="Arial" w:hAnsi="Arial" w:cs="Arial"/>
        </w:rPr>
        <w:t xml:space="preserve"> in posebnega kriterija iz 5. člena</w:t>
      </w:r>
      <w:r w:rsidRPr="00D35713">
        <w:rPr>
          <w:rFonts w:ascii="Arial" w:hAnsi="Arial" w:cs="Arial"/>
        </w:rPr>
        <w:t>, se seštevajo</w:t>
      </w:r>
      <w:r w:rsidR="003B54C1" w:rsidRPr="00D35713">
        <w:rPr>
          <w:rFonts w:ascii="Arial" w:hAnsi="Arial" w:cs="Arial"/>
        </w:rPr>
        <w:t xml:space="preserve"> tako, da skupni seštevek celotnega vrednotenja ne preseže 100 odstotnih točk</w:t>
      </w:r>
      <w:r w:rsidRPr="00D35713">
        <w:rPr>
          <w:rFonts w:ascii="Arial" w:hAnsi="Arial" w:cs="Arial"/>
        </w:rPr>
        <w:t>.</w:t>
      </w:r>
    </w:p>
    <w:p w14:paraId="2B1407CD" w14:textId="77777777" w:rsidR="00567D96" w:rsidRPr="00D35713" w:rsidRDefault="00567D96" w:rsidP="00567D96">
      <w:pPr>
        <w:jc w:val="both"/>
        <w:rPr>
          <w:rFonts w:ascii="Arial" w:hAnsi="Arial" w:cs="Arial"/>
          <w:color w:val="000000" w:themeColor="text1"/>
        </w:rPr>
      </w:pPr>
      <w:r w:rsidRPr="00D35713">
        <w:rPr>
          <w:rFonts w:ascii="Arial" w:hAnsi="Arial" w:cs="Arial"/>
          <w:color w:val="000000" w:themeColor="text1"/>
        </w:rPr>
        <w:t>(2) Višina dela plače za delovno uspešnost se izračuna tako, da se dobljeno število odstotnih točk pomnoži z višino ene osnovne plače javnega uslužbenca plačne skupine B v mesecu pred izplačilom dela plače za delovno uspešnost.</w:t>
      </w:r>
    </w:p>
    <w:p w14:paraId="3A7BFE11" w14:textId="77777777" w:rsidR="00567D96" w:rsidRPr="00D35713" w:rsidRDefault="00567D96" w:rsidP="00567D96">
      <w:pPr>
        <w:jc w:val="both"/>
        <w:rPr>
          <w:rFonts w:ascii="Arial" w:hAnsi="Arial" w:cs="Arial"/>
        </w:rPr>
      </w:pPr>
      <w:r w:rsidRPr="00D35713">
        <w:rPr>
          <w:rFonts w:ascii="Arial" w:hAnsi="Arial" w:cs="Arial"/>
        </w:rPr>
        <w:t>(3) Če javni uslužbenec plačne skupine B nastopi mandat ali pa mu preneha med poslovnim letom, mu redna delovna uspešnost pripada sorazmerno s trajanjem mandata v tem poslovnem letu.</w:t>
      </w:r>
    </w:p>
    <w:p w14:paraId="59AEBEB9" w14:textId="77777777" w:rsidR="00F555C8" w:rsidRPr="00D35713" w:rsidRDefault="00F555C8" w:rsidP="00567D96">
      <w:pPr>
        <w:jc w:val="both"/>
        <w:rPr>
          <w:rFonts w:ascii="Arial" w:hAnsi="Arial" w:cs="Arial"/>
          <w:b/>
          <w:bCs/>
        </w:rPr>
      </w:pPr>
    </w:p>
    <w:p w14:paraId="41CEADAA" w14:textId="0BEE8D48" w:rsidR="00567D96" w:rsidRPr="00D35713" w:rsidRDefault="00F555C8" w:rsidP="00B83D62">
      <w:pPr>
        <w:jc w:val="center"/>
        <w:rPr>
          <w:rFonts w:ascii="Arial" w:hAnsi="Arial" w:cs="Arial"/>
          <w:b/>
          <w:bCs/>
        </w:rPr>
      </w:pPr>
      <w:r w:rsidRPr="00D35713">
        <w:rPr>
          <w:rFonts w:ascii="Arial" w:hAnsi="Arial" w:cs="Arial"/>
          <w:b/>
          <w:bCs/>
        </w:rPr>
        <w:t>7</w:t>
      </w:r>
      <w:r w:rsidR="00567D96" w:rsidRPr="00D35713">
        <w:rPr>
          <w:rFonts w:ascii="Arial" w:hAnsi="Arial" w:cs="Arial"/>
          <w:b/>
          <w:bCs/>
        </w:rPr>
        <w:t>. člen</w:t>
      </w:r>
    </w:p>
    <w:p w14:paraId="30E92448" w14:textId="77777777" w:rsidR="00567D96" w:rsidRPr="00D35713" w:rsidRDefault="00567D96" w:rsidP="00B83D62">
      <w:pPr>
        <w:jc w:val="center"/>
        <w:rPr>
          <w:rFonts w:ascii="Arial" w:hAnsi="Arial" w:cs="Arial"/>
          <w:b/>
          <w:bCs/>
        </w:rPr>
      </w:pPr>
      <w:r w:rsidRPr="00D35713">
        <w:rPr>
          <w:rFonts w:ascii="Arial" w:hAnsi="Arial" w:cs="Arial"/>
          <w:b/>
          <w:bCs/>
        </w:rPr>
        <w:t>(izločilni pogoji)</w:t>
      </w:r>
    </w:p>
    <w:p w14:paraId="7B21A99B" w14:textId="77777777" w:rsidR="00567D96" w:rsidRPr="00D35713" w:rsidRDefault="00567D96" w:rsidP="00567D96">
      <w:pPr>
        <w:jc w:val="both"/>
        <w:rPr>
          <w:rFonts w:ascii="Arial" w:hAnsi="Arial" w:cs="Arial"/>
        </w:rPr>
      </w:pPr>
      <w:r w:rsidRPr="00D35713">
        <w:rPr>
          <w:rFonts w:ascii="Arial" w:hAnsi="Arial" w:cs="Arial"/>
        </w:rPr>
        <w:t>Javnemu uslužbencu plačne skupine B ne pripada del plače iz naslova redne delovne uspešnosti za izvajanje javne službe, če:</w:t>
      </w:r>
    </w:p>
    <w:p w14:paraId="55749C23" w14:textId="77777777" w:rsidR="00567D96" w:rsidRPr="00D35713" w:rsidRDefault="00567D96" w:rsidP="00567D96">
      <w:pPr>
        <w:jc w:val="both"/>
        <w:rPr>
          <w:rFonts w:ascii="Arial" w:hAnsi="Arial" w:cs="Arial"/>
        </w:rPr>
      </w:pPr>
      <w:r w:rsidRPr="00D35713">
        <w:rPr>
          <w:rFonts w:ascii="Arial" w:hAnsi="Arial" w:cs="Arial"/>
        </w:rPr>
        <w:t>-       pravna oseba javnega prava ocenjevano poslovno leto zaključi z izgubo,</w:t>
      </w:r>
    </w:p>
    <w:p w14:paraId="7596DC3A" w14:textId="77777777" w:rsidR="00567D96" w:rsidRPr="00D35713" w:rsidRDefault="00567D96" w:rsidP="00567D96">
      <w:pPr>
        <w:jc w:val="both"/>
        <w:rPr>
          <w:rFonts w:ascii="Arial" w:hAnsi="Arial" w:cs="Arial"/>
          <w:color w:val="000000" w:themeColor="text1"/>
        </w:rPr>
      </w:pPr>
      <w:r w:rsidRPr="00D35713">
        <w:rPr>
          <w:rFonts w:ascii="Arial" w:hAnsi="Arial" w:cs="Arial"/>
        </w:rPr>
        <w:t>-</w:t>
      </w:r>
      <w:r w:rsidRPr="00D35713">
        <w:rPr>
          <w:rFonts w:ascii="Arial" w:hAnsi="Arial" w:cs="Arial"/>
          <w:color w:val="000000" w:themeColor="text1"/>
        </w:rPr>
        <w:t xml:space="preserve">       če v ocenjevanem poslovnem letu ne izpolni potrjenega programa dela,</w:t>
      </w:r>
    </w:p>
    <w:p w14:paraId="378BA464" w14:textId="77777777" w:rsidR="00567D96" w:rsidRPr="00D35713" w:rsidRDefault="00567D96" w:rsidP="00567D96">
      <w:pPr>
        <w:jc w:val="both"/>
        <w:rPr>
          <w:rFonts w:ascii="Arial" w:hAnsi="Arial" w:cs="Arial"/>
        </w:rPr>
      </w:pPr>
      <w:r w:rsidRPr="00D35713">
        <w:rPr>
          <w:rFonts w:ascii="Arial" w:hAnsi="Arial" w:cs="Arial"/>
        </w:rPr>
        <w:t>-       za ocenjevano obdobje prejme negativno mnenje Računskega sodišča Republike Slovenije,</w:t>
      </w:r>
    </w:p>
    <w:p w14:paraId="032E6BF8" w14:textId="6AAD8815" w:rsidR="00567D96" w:rsidRPr="00D35713" w:rsidRDefault="00567D96" w:rsidP="00567D96">
      <w:pPr>
        <w:jc w:val="both"/>
        <w:rPr>
          <w:rFonts w:ascii="Arial" w:hAnsi="Arial" w:cs="Arial"/>
        </w:rPr>
      </w:pPr>
      <w:r w:rsidRPr="00D35713">
        <w:rPr>
          <w:rFonts w:ascii="Arial" w:hAnsi="Arial" w:cs="Arial"/>
        </w:rPr>
        <w:t>-       v ocenjevanem obdobju ne odpravi pomanjkljivosti, ki jih v predhodn</w:t>
      </w:r>
      <w:r w:rsidR="00F6526C" w:rsidRPr="00D35713">
        <w:rPr>
          <w:rFonts w:ascii="Arial" w:hAnsi="Arial" w:cs="Arial"/>
        </w:rPr>
        <w:t>ih</w:t>
      </w:r>
      <w:r w:rsidRPr="00D35713">
        <w:rPr>
          <w:rFonts w:ascii="Arial" w:hAnsi="Arial" w:cs="Arial"/>
        </w:rPr>
        <w:t xml:space="preserve"> obdobj</w:t>
      </w:r>
      <w:r w:rsidR="00F6526C" w:rsidRPr="00D35713">
        <w:rPr>
          <w:rFonts w:ascii="Arial" w:hAnsi="Arial" w:cs="Arial"/>
        </w:rPr>
        <w:t>ih</w:t>
      </w:r>
      <w:r w:rsidRPr="00D35713">
        <w:rPr>
          <w:rFonts w:ascii="Arial" w:hAnsi="Arial" w:cs="Arial"/>
        </w:rPr>
        <w:t xml:space="preserve"> ugotovi pristojni nadzorni organ ali Računsko sodišče Republike Slovenije,</w:t>
      </w:r>
    </w:p>
    <w:p w14:paraId="26F0C231" w14:textId="77777777" w:rsidR="00567D96" w:rsidRPr="00D35713" w:rsidRDefault="00567D96" w:rsidP="00567D96">
      <w:pPr>
        <w:jc w:val="both"/>
        <w:rPr>
          <w:rFonts w:ascii="Arial" w:hAnsi="Arial" w:cs="Arial"/>
        </w:rPr>
      </w:pPr>
      <w:r w:rsidRPr="00D35713">
        <w:rPr>
          <w:rFonts w:ascii="Arial" w:hAnsi="Arial" w:cs="Arial"/>
        </w:rPr>
        <w:t xml:space="preserve">-       ustanovitelj oziroma pretežni javni financer </w:t>
      </w:r>
      <w:r w:rsidRPr="00D35713">
        <w:rPr>
          <w:rFonts w:ascii="Arial" w:hAnsi="Arial" w:cs="Arial"/>
          <w:color w:val="000000"/>
        </w:rPr>
        <w:t>ob izvedem nadzoru v ocenjevanem obdobju ugotovi nezakonitosti pri poslovanju,</w:t>
      </w:r>
    </w:p>
    <w:p w14:paraId="7D569503" w14:textId="77777777" w:rsidR="00567D96" w:rsidRPr="00D35713" w:rsidRDefault="00567D96" w:rsidP="00567D96">
      <w:pPr>
        <w:jc w:val="both"/>
        <w:rPr>
          <w:rFonts w:ascii="Arial" w:hAnsi="Arial" w:cs="Arial"/>
        </w:rPr>
      </w:pPr>
      <w:r w:rsidRPr="00D35713">
        <w:rPr>
          <w:rFonts w:ascii="Arial" w:hAnsi="Arial" w:cs="Arial"/>
        </w:rPr>
        <w:t>-       v roku ne predloži dokumentov, ki so določeni s predpisi o financiranju pravne osebe javnega prava.</w:t>
      </w:r>
    </w:p>
    <w:p w14:paraId="2CF72E9C" w14:textId="77777777" w:rsidR="00B83D62" w:rsidRPr="00D35713" w:rsidRDefault="00B83D62" w:rsidP="00567D96">
      <w:pPr>
        <w:jc w:val="both"/>
        <w:rPr>
          <w:rFonts w:ascii="Arial" w:hAnsi="Arial" w:cs="Arial"/>
        </w:rPr>
      </w:pPr>
    </w:p>
    <w:p w14:paraId="7D9F824E" w14:textId="5D342EE5" w:rsidR="00567D96" w:rsidRPr="00D35713" w:rsidRDefault="00B83D62" w:rsidP="00B83D62">
      <w:pPr>
        <w:jc w:val="center"/>
        <w:rPr>
          <w:rFonts w:ascii="Arial" w:hAnsi="Arial" w:cs="Arial"/>
        </w:rPr>
      </w:pPr>
      <w:r w:rsidRPr="00D35713">
        <w:rPr>
          <w:rFonts w:ascii="Arial" w:hAnsi="Arial" w:cs="Arial"/>
        </w:rPr>
        <w:lastRenderedPageBreak/>
        <w:t>KONČNA DOLOČBA</w:t>
      </w:r>
    </w:p>
    <w:p w14:paraId="6B56F207" w14:textId="2F6A3843" w:rsidR="00567D96" w:rsidRPr="00D35713" w:rsidRDefault="00F555C8" w:rsidP="00B83D62">
      <w:pPr>
        <w:jc w:val="center"/>
        <w:rPr>
          <w:rFonts w:ascii="Arial" w:hAnsi="Arial" w:cs="Arial"/>
          <w:b/>
          <w:bCs/>
        </w:rPr>
      </w:pPr>
      <w:r w:rsidRPr="00D35713">
        <w:rPr>
          <w:rFonts w:ascii="Arial" w:hAnsi="Arial" w:cs="Arial"/>
          <w:b/>
          <w:bCs/>
        </w:rPr>
        <w:t>8</w:t>
      </w:r>
      <w:r w:rsidR="00567D96" w:rsidRPr="00D35713">
        <w:rPr>
          <w:rFonts w:ascii="Arial" w:hAnsi="Arial" w:cs="Arial"/>
          <w:b/>
          <w:bCs/>
        </w:rPr>
        <w:t>. člen</w:t>
      </w:r>
    </w:p>
    <w:p w14:paraId="018FF4F3" w14:textId="77777777" w:rsidR="00567D96" w:rsidRPr="00D35713" w:rsidRDefault="00567D96" w:rsidP="00B83D62">
      <w:pPr>
        <w:jc w:val="center"/>
        <w:rPr>
          <w:rFonts w:ascii="Arial" w:hAnsi="Arial" w:cs="Arial"/>
          <w:b/>
          <w:bCs/>
        </w:rPr>
      </w:pPr>
      <w:r w:rsidRPr="00D35713">
        <w:rPr>
          <w:rFonts w:ascii="Arial" w:hAnsi="Arial" w:cs="Arial"/>
          <w:b/>
          <w:bCs/>
        </w:rPr>
        <w:t>(začetek veljavnosti in uporabe)</w:t>
      </w:r>
    </w:p>
    <w:p w14:paraId="0AB4D23E" w14:textId="77777777" w:rsidR="00567D96" w:rsidRPr="00D35713" w:rsidRDefault="00567D96" w:rsidP="00567D96">
      <w:pPr>
        <w:jc w:val="both"/>
        <w:rPr>
          <w:rFonts w:ascii="Arial" w:hAnsi="Arial" w:cs="Arial"/>
        </w:rPr>
      </w:pPr>
      <w:r w:rsidRPr="00D35713">
        <w:rPr>
          <w:rFonts w:ascii="Arial" w:hAnsi="Arial" w:cs="Arial"/>
        </w:rPr>
        <w:t>Ta pravilnik začne veljati naslednji dan po objavi v Uradnem listu Republike Slovenije, uporabljati pa se začne 1. januarja 2026.</w:t>
      </w:r>
    </w:p>
    <w:p w14:paraId="6C04E544" w14:textId="77777777" w:rsidR="0042448E" w:rsidRPr="00D35713" w:rsidRDefault="0042448E">
      <w:pPr>
        <w:rPr>
          <w:rFonts w:ascii="Arial" w:hAnsi="Arial" w:cs="Arial"/>
        </w:rPr>
      </w:pPr>
    </w:p>
    <w:p w14:paraId="12934FA0" w14:textId="65EF3A9E" w:rsidR="00B91B9D" w:rsidRPr="00D35713" w:rsidRDefault="00B91B9D" w:rsidP="00B91B9D">
      <w:pPr>
        <w:spacing w:after="0"/>
        <w:rPr>
          <w:rFonts w:ascii="Arial" w:hAnsi="Arial" w:cs="Arial"/>
          <w:sz w:val="20"/>
          <w:szCs w:val="20"/>
        </w:rPr>
      </w:pPr>
      <w:r w:rsidRPr="00D35713">
        <w:rPr>
          <w:rFonts w:ascii="Arial" w:hAnsi="Arial" w:cs="Arial"/>
          <w:sz w:val="20"/>
          <w:szCs w:val="20"/>
        </w:rPr>
        <w:t xml:space="preserve">Št. </w:t>
      </w:r>
      <w:r w:rsidRPr="00D35713">
        <w:rPr>
          <w:rFonts w:ascii="Arial" w:eastAsia="Times New Roman" w:hAnsi="Arial" w:cs="Arial"/>
        </w:rPr>
        <w:t>0070-17/2025</w:t>
      </w:r>
      <w:r w:rsidRPr="00D35713">
        <w:rPr>
          <w:rFonts w:ascii="Arial" w:hAnsi="Arial" w:cs="Arial"/>
        </w:rPr>
        <w:t xml:space="preserve">  </w:t>
      </w:r>
    </w:p>
    <w:p w14:paraId="38626685" w14:textId="77777777" w:rsidR="00B91B9D" w:rsidRPr="00D35713" w:rsidRDefault="00B91B9D" w:rsidP="00B91B9D">
      <w:pPr>
        <w:spacing w:after="0"/>
        <w:rPr>
          <w:rFonts w:ascii="Arial" w:hAnsi="Arial" w:cs="Arial"/>
          <w:sz w:val="20"/>
          <w:szCs w:val="20"/>
        </w:rPr>
      </w:pPr>
      <w:r w:rsidRPr="00D35713">
        <w:rPr>
          <w:rFonts w:ascii="Arial" w:hAnsi="Arial" w:cs="Arial"/>
          <w:sz w:val="20"/>
          <w:szCs w:val="20"/>
        </w:rPr>
        <w:t xml:space="preserve">Ljubljana, dne </w:t>
      </w:r>
    </w:p>
    <w:p w14:paraId="3203DB67" w14:textId="643EE682" w:rsidR="00B91B9D" w:rsidRPr="00D35713" w:rsidRDefault="00B91B9D" w:rsidP="00B91B9D">
      <w:pPr>
        <w:spacing w:after="0"/>
        <w:rPr>
          <w:rFonts w:ascii="Arial" w:hAnsi="Arial" w:cs="Arial"/>
          <w:sz w:val="20"/>
          <w:szCs w:val="20"/>
        </w:rPr>
      </w:pPr>
      <w:r w:rsidRPr="00D35713">
        <w:rPr>
          <w:rFonts w:ascii="Arial" w:hAnsi="Arial" w:cs="Arial"/>
          <w:sz w:val="20"/>
          <w:szCs w:val="20"/>
        </w:rPr>
        <w:t xml:space="preserve">EVA </w:t>
      </w:r>
      <w:r w:rsidRPr="00D35713">
        <w:rPr>
          <w:rFonts w:ascii="Arial" w:hAnsi="Arial" w:cs="Arial"/>
        </w:rPr>
        <w:t>2025-3340-0026</w:t>
      </w:r>
    </w:p>
    <w:p w14:paraId="5904C526" w14:textId="77777777" w:rsidR="00B91B9D" w:rsidRPr="00D35713" w:rsidRDefault="00B91B9D" w:rsidP="00B91B9D">
      <w:pPr>
        <w:rPr>
          <w:rFonts w:ascii="Arial" w:hAnsi="Arial" w:cs="Arial"/>
          <w:sz w:val="20"/>
          <w:szCs w:val="20"/>
        </w:rPr>
      </w:pPr>
    </w:p>
    <w:p w14:paraId="270C2EA1" w14:textId="77777777" w:rsidR="00B91B9D" w:rsidRPr="00D35713" w:rsidRDefault="00B91B9D" w:rsidP="00B91B9D">
      <w:pPr>
        <w:spacing w:after="0"/>
        <w:ind w:left="5664" w:firstLine="708"/>
        <w:rPr>
          <w:rFonts w:ascii="Arial" w:hAnsi="Arial" w:cs="Arial"/>
          <w:sz w:val="20"/>
          <w:szCs w:val="20"/>
        </w:rPr>
      </w:pPr>
      <w:r w:rsidRPr="00D35713">
        <w:rPr>
          <w:rFonts w:ascii="Arial" w:hAnsi="Arial" w:cs="Arial"/>
          <w:sz w:val="20"/>
          <w:szCs w:val="20"/>
        </w:rPr>
        <w:t>dr. Asta Vrečko</w:t>
      </w:r>
    </w:p>
    <w:p w14:paraId="19659894" w14:textId="77777777" w:rsidR="00B91B9D" w:rsidRPr="00D35713" w:rsidRDefault="00B91B9D" w:rsidP="00B91B9D">
      <w:pPr>
        <w:spacing w:after="0"/>
        <w:ind w:left="5664" w:firstLine="708"/>
        <w:rPr>
          <w:rFonts w:ascii="Arial" w:hAnsi="Arial" w:cs="Arial"/>
          <w:sz w:val="20"/>
          <w:szCs w:val="20"/>
        </w:rPr>
      </w:pPr>
      <w:r w:rsidRPr="00D35713">
        <w:rPr>
          <w:rFonts w:ascii="Arial" w:hAnsi="Arial" w:cs="Arial"/>
          <w:sz w:val="20"/>
          <w:szCs w:val="20"/>
        </w:rPr>
        <w:t>Ministrica za kulturo</w:t>
      </w:r>
    </w:p>
    <w:p w14:paraId="66F73F0F" w14:textId="15472339" w:rsidR="00B91B9D" w:rsidRPr="00D35713" w:rsidRDefault="00B91B9D" w:rsidP="00B83D62">
      <w:pPr>
        <w:autoSpaceDE w:val="0"/>
        <w:autoSpaceDN w:val="0"/>
        <w:adjustRightInd w:val="0"/>
        <w:spacing w:line="240" w:lineRule="auto"/>
        <w:rPr>
          <w:rFonts w:ascii="Arial" w:hAnsi="Arial" w:cs="Arial"/>
        </w:rPr>
      </w:pPr>
      <w:r w:rsidRPr="00D35713">
        <w:rPr>
          <w:rFonts w:ascii="Arial" w:hAnsi="Arial" w:cs="Arial"/>
        </w:rPr>
        <w:t xml:space="preserve"> </w:t>
      </w:r>
    </w:p>
    <w:sectPr w:rsidR="00B91B9D" w:rsidRPr="00D35713" w:rsidSect="00D35713">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B3E"/>
    <w:multiLevelType w:val="hybridMultilevel"/>
    <w:tmpl w:val="DA42B836"/>
    <w:lvl w:ilvl="0" w:tplc="0D060B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4174D0"/>
    <w:multiLevelType w:val="hybridMultilevel"/>
    <w:tmpl w:val="D5E41B9A"/>
    <w:lvl w:ilvl="0" w:tplc="ECDA26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B743D5"/>
    <w:multiLevelType w:val="hybridMultilevel"/>
    <w:tmpl w:val="28469266"/>
    <w:lvl w:ilvl="0" w:tplc="549C475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3D4A38"/>
    <w:multiLevelType w:val="hybridMultilevel"/>
    <w:tmpl w:val="8F16B87E"/>
    <w:lvl w:ilvl="0" w:tplc="E1CAC02A">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710A0D"/>
    <w:multiLevelType w:val="hybridMultilevel"/>
    <w:tmpl w:val="32B6EB24"/>
    <w:lvl w:ilvl="0" w:tplc="5B8442F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B929AF"/>
    <w:multiLevelType w:val="hybridMultilevel"/>
    <w:tmpl w:val="CD8E530E"/>
    <w:lvl w:ilvl="0" w:tplc="9CF00CF4">
      <w:start w:val="1"/>
      <w:numFmt w:val="bullet"/>
      <w:lvlText w:val=""/>
      <w:lvlJc w:val="left"/>
      <w:pPr>
        <w:ind w:left="720" w:hanging="360"/>
      </w:pPr>
      <w:rPr>
        <w:rFonts w:ascii="Symbol" w:hAnsi="Symbol"/>
      </w:rPr>
    </w:lvl>
    <w:lvl w:ilvl="1" w:tplc="7084F952">
      <w:start w:val="1"/>
      <w:numFmt w:val="bullet"/>
      <w:lvlText w:val=""/>
      <w:lvlJc w:val="left"/>
      <w:pPr>
        <w:ind w:left="720" w:hanging="360"/>
      </w:pPr>
      <w:rPr>
        <w:rFonts w:ascii="Symbol" w:hAnsi="Symbol"/>
      </w:rPr>
    </w:lvl>
    <w:lvl w:ilvl="2" w:tplc="85989A8E">
      <w:start w:val="1"/>
      <w:numFmt w:val="bullet"/>
      <w:lvlText w:val=""/>
      <w:lvlJc w:val="left"/>
      <w:pPr>
        <w:ind w:left="720" w:hanging="360"/>
      </w:pPr>
      <w:rPr>
        <w:rFonts w:ascii="Symbol" w:hAnsi="Symbol"/>
      </w:rPr>
    </w:lvl>
    <w:lvl w:ilvl="3" w:tplc="BD643002">
      <w:start w:val="1"/>
      <w:numFmt w:val="bullet"/>
      <w:lvlText w:val=""/>
      <w:lvlJc w:val="left"/>
      <w:pPr>
        <w:ind w:left="720" w:hanging="360"/>
      </w:pPr>
      <w:rPr>
        <w:rFonts w:ascii="Symbol" w:hAnsi="Symbol"/>
      </w:rPr>
    </w:lvl>
    <w:lvl w:ilvl="4" w:tplc="46208BA0">
      <w:start w:val="1"/>
      <w:numFmt w:val="bullet"/>
      <w:lvlText w:val=""/>
      <w:lvlJc w:val="left"/>
      <w:pPr>
        <w:ind w:left="720" w:hanging="360"/>
      </w:pPr>
      <w:rPr>
        <w:rFonts w:ascii="Symbol" w:hAnsi="Symbol"/>
      </w:rPr>
    </w:lvl>
    <w:lvl w:ilvl="5" w:tplc="12D02C5C">
      <w:start w:val="1"/>
      <w:numFmt w:val="bullet"/>
      <w:lvlText w:val=""/>
      <w:lvlJc w:val="left"/>
      <w:pPr>
        <w:ind w:left="720" w:hanging="360"/>
      </w:pPr>
      <w:rPr>
        <w:rFonts w:ascii="Symbol" w:hAnsi="Symbol"/>
      </w:rPr>
    </w:lvl>
    <w:lvl w:ilvl="6" w:tplc="236E8F42">
      <w:start w:val="1"/>
      <w:numFmt w:val="bullet"/>
      <w:lvlText w:val=""/>
      <w:lvlJc w:val="left"/>
      <w:pPr>
        <w:ind w:left="720" w:hanging="360"/>
      </w:pPr>
      <w:rPr>
        <w:rFonts w:ascii="Symbol" w:hAnsi="Symbol"/>
      </w:rPr>
    </w:lvl>
    <w:lvl w:ilvl="7" w:tplc="463243C6">
      <w:start w:val="1"/>
      <w:numFmt w:val="bullet"/>
      <w:lvlText w:val=""/>
      <w:lvlJc w:val="left"/>
      <w:pPr>
        <w:ind w:left="720" w:hanging="360"/>
      </w:pPr>
      <w:rPr>
        <w:rFonts w:ascii="Symbol" w:hAnsi="Symbol"/>
      </w:rPr>
    </w:lvl>
    <w:lvl w:ilvl="8" w:tplc="9790EDB4">
      <w:start w:val="1"/>
      <w:numFmt w:val="bullet"/>
      <w:lvlText w:val=""/>
      <w:lvlJc w:val="left"/>
      <w:pPr>
        <w:ind w:left="720" w:hanging="360"/>
      </w:pPr>
      <w:rPr>
        <w:rFonts w:ascii="Symbol" w:hAnsi="Symbol"/>
      </w:rPr>
    </w:lvl>
  </w:abstractNum>
  <w:abstractNum w:abstractNumId="6" w15:restartNumberingAfterBreak="0">
    <w:nsid w:val="652D41BD"/>
    <w:multiLevelType w:val="hybridMultilevel"/>
    <w:tmpl w:val="2D64A2CC"/>
    <w:lvl w:ilvl="0" w:tplc="A418D38C">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A7F307D"/>
    <w:multiLevelType w:val="hybridMultilevel"/>
    <w:tmpl w:val="CBC252EE"/>
    <w:lvl w:ilvl="0" w:tplc="4596059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6480149">
    <w:abstractNumId w:val="5"/>
  </w:num>
  <w:num w:numId="2" w16cid:durableId="1658072207">
    <w:abstractNumId w:val="6"/>
  </w:num>
  <w:num w:numId="3" w16cid:durableId="723138220">
    <w:abstractNumId w:val="4"/>
  </w:num>
  <w:num w:numId="4" w16cid:durableId="944506443">
    <w:abstractNumId w:val="2"/>
  </w:num>
  <w:num w:numId="5" w16cid:durableId="1735658419">
    <w:abstractNumId w:val="3"/>
  </w:num>
  <w:num w:numId="6" w16cid:durableId="763306556">
    <w:abstractNumId w:val="7"/>
  </w:num>
  <w:num w:numId="7" w16cid:durableId="1647005200">
    <w:abstractNumId w:val="0"/>
  </w:num>
  <w:num w:numId="8" w16cid:durableId="195844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96"/>
    <w:rsid w:val="00014299"/>
    <w:rsid w:val="00066032"/>
    <w:rsid w:val="00085517"/>
    <w:rsid w:val="000A3B25"/>
    <w:rsid w:val="000C1232"/>
    <w:rsid w:val="001C4BBA"/>
    <w:rsid w:val="002011F9"/>
    <w:rsid w:val="00284999"/>
    <w:rsid w:val="002A6A9A"/>
    <w:rsid w:val="00300D3D"/>
    <w:rsid w:val="00314985"/>
    <w:rsid w:val="0031659E"/>
    <w:rsid w:val="00341A81"/>
    <w:rsid w:val="00351B4D"/>
    <w:rsid w:val="003B54C1"/>
    <w:rsid w:val="0042448E"/>
    <w:rsid w:val="00433634"/>
    <w:rsid w:val="004372F0"/>
    <w:rsid w:val="00484ACF"/>
    <w:rsid w:val="004937FE"/>
    <w:rsid w:val="00530129"/>
    <w:rsid w:val="00567D96"/>
    <w:rsid w:val="00593E56"/>
    <w:rsid w:val="005A544F"/>
    <w:rsid w:val="005A6413"/>
    <w:rsid w:val="005B2118"/>
    <w:rsid w:val="005D54D3"/>
    <w:rsid w:val="005D747E"/>
    <w:rsid w:val="005F2FD7"/>
    <w:rsid w:val="00601EF6"/>
    <w:rsid w:val="006021CC"/>
    <w:rsid w:val="00650379"/>
    <w:rsid w:val="006C1889"/>
    <w:rsid w:val="006C1969"/>
    <w:rsid w:val="006F5A9F"/>
    <w:rsid w:val="00723CB8"/>
    <w:rsid w:val="0078484A"/>
    <w:rsid w:val="007D5866"/>
    <w:rsid w:val="00941937"/>
    <w:rsid w:val="00983247"/>
    <w:rsid w:val="009A36E7"/>
    <w:rsid w:val="009F7D5B"/>
    <w:rsid w:val="00A02001"/>
    <w:rsid w:val="00B4480D"/>
    <w:rsid w:val="00B83B46"/>
    <w:rsid w:val="00B83D62"/>
    <w:rsid w:val="00B91B9D"/>
    <w:rsid w:val="00BD3FDD"/>
    <w:rsid w:val="00C64EE7"/>
    <w:rsid w:val="00D35713"/>
    <w:rsid w:val="00D60B1F"/>
    <w:rsid w:val="00D946B9"/>
    <w:rsid w:val="00DD5CAB"/>
    <w:rsid w:val="00DE4380"/>
    <w:rsid w:val="00E13300"/>
    <w:rsid w:val="00E6162E"/>
    <w:rsid w:val="00EB093E"/>
    <w:rsid w:val="00F555C8"/>
    <w:rsid w:val="00F6526C"/>
    <w:rsid w:val="00FB1741"/>
    <w:rsid w:val="00FC34DD"/>
    <w:rsid w:val="00FD2B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11A4"/>
  <w15:chartTrackingRefBased/>
  <w15:docId w15:val="{7BD370AB-13CA-4623-BCE0-05736C61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7D96"/>
  </w:style>
  <w:style w:type="paragraph" w:styleId="Naslov1">
    <w:name w:val="heading 1"/>
    <w:basedOn w:val="Navaden"/>
    <w:next w:val="Navaden"/>
    <w:link w:val="Naslov1Znak"/>
    <w:uiPriority w:val="9"/>
    <w:qFormat/>
    <w:rsid w:val="0056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7D9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7D9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7D9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7D9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7D9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7D9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7D9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7D9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7D9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7D9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7D9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7D9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7D9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7D9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7D9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7D96"/>
    <w:rPr>
      <w:rFonts w:eastAsiaTheme="majorEastAsia" w:cstheme="majorBidi"/>
      <w:color w:val="272727" w:themeColor="text1" w:themeTint="D8"/>
    </w:rPr>
  </w:style>
  <w:style w:type="paragraph" w:styleId="Naslov">
    <w:name w:val="Title"/>
    <w:basedOn w:val="Navaden"/>
    <w:next w:val="Navaden"/>
    <w:link w:val="NaslovZnak"/>
    <w:uiPriority w:val="10"/>
    <w:qFormat/>
    <w:rsid w:val="0056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7D9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7D9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7D9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7D96"/>
    <w:pPr>
      <w:spacing w:before="160"/>
      <w:jc w:val="center"/>
    </w:pPr>
    <w:rPr>
      <w:i/>
      <w:iCs/>
      <w:color w:val="404040" w:themeColor="text1" w:themeTint="BF"/>
    </w:rPr>
  </w:style>
  <w:style w:type="character" w:customStyle="1" w:styleId="CitatZnak">
    <w:name w:val="Citat Znak"/>
    <w:basedOn w:val="Privzetapisavaodstavka"/>
    <w:link w:val="Citat"/>
    <w:uiPriority w:val="29"/>
    <w:rsid w:val="00567D96"/>
    <w:rPr>
      <w:i/>
      <w:iCs/>
      <w:color w:val="404040" w:themeColor="text1" w:themeTint="BF"/>
    </w:rPr>
  </w:style>
  <w:style w:type="paragraph" w:styleId="Odstavekseznama">
    <w:name w:val="List Paragraph"/>
    <w:basedOn w:val="Navaden"/>
    <w:uiPriority w:val="34"/>
    <w:qFormat/>
    <w:rsid w:val="00567D96"/>
    <w:pPr>
      <w:ind w:left="720"/>
      <w:contextualSpacing/>
    </w:pPr>
  </w:style>
  <w:style w:type="character" w:styleId="Intenzivenpoudarek">
    <w:name w:val="Intense Emphasis"/>
    <w:basedOn w:val="Privzetapisavaodstavka"/>
    <w:uiPriority w:val="21"/>
    <w:qFormat/>
    <w:rsid w:val="00567D96"/>
    <w:rPr>
      <w:i/>
      <w:iCs/>
      <w:color w:val="0F4761" w:themeColor="accent1" w:themeShade="BF"/>
    </w:rPr>
  </w:style>
  <w:style w:type="paragraph" w:styleId="Intenzivencitat">
    <w:name w:val="Intense Quote"/>
    <w:basedOn w:val="Navaden"/>
    <w:next w:val="Navaden"/>
    <w:link w:val="IntenzivencitatZnak"/>
    <w:uiPriority w:val="30"/>
    <w:qFormat/>
    <w:rsid w:val="0056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7D96"/>
    <w:rPr>
      <w:i/>
      <w:iCs/>
      <w:color w:val="0F4761" w:themeColor="accent1" w:themeShade="BF"/>
    </w:rPr>
  </w:style>
  <w:style w:type="character" w:styleId="Intenzivensklic">
    <w:name w:val="Intense Reference"/>
    <w:basedOn w:val="Privzetapisavaodstavka"/>
    <w:uiPriority w:val="32"/>
    <w:qFormat/>
    <w:rsid w:val="00567D96"/>
    <w:rPr>
      <w:b/>
      <w:bCs/>
      <w:smallCaps/>
      <w:color w:val="0F4761" w:themeColor="accent1" w:themeShade="BF"/>
      <w:spacing w:val="5"/>
    </w:rPr>
  </w:style>
  <w:style w:type="character" w:styleId="Pripombasklic">
    <w:name w:val="annotation reference"/>
    <w:basedOn w:val="Privzetapisavaodstavka"/>
    <w:uiPriority w:val="99"/>
    <w:semiHidden/>
    <w:unhideWhenUsed/>
    <w:rsid w:val="00567D96"/>
    <w:rPr>
      <w:sz w:val="16"/>
      <w:szCs w:val="16"/>
    </w:rPr>
  </w:style>
  <w:style w:type="paragraph" w:styleId="Pripombabesedilo">
    <w:name w:val="annotation text"/>
    <w:basedOn w:val="Navaden"/>
    <w:link w:val="PripombabesediloZnak"/>
    <w:uiPriority w:val="99"/>
    <w:unhideWhenUsed/>
    <w:rsid w:val="00567D96"/>
    <w:pPr>
      <w:spacing w:line="240" w:lineRule="auto"/>
    </w:pPr>
    <w:rPr>
      <w:sz w:val="20"/>
      <w:szCs w:val="20"/>
    </w:rPr>
  </w:style>
  <w:style w:type="character" w:customStyle="1" w:styleId="PripombabesediloZnak">
    <w:name w:val="Pripomba – besedilo Znak"/>
    <w:basedOn w:val="Privzetapisavaodstavka"/>
    <w:link w:val="Pripombabesedilo"/>
    <w:uiPriority w:val="99"/>
    <w:rsid w:val="00567D96"/>
    <w:rPr>
      <w:sz w:val="20"/>
      <w:szCs w:val="20"/>
    </w:rPr>
  </w:style>
  <w:style w:type="paragraph" w:styleId="Revizija">
    <w:name w:val="Revision"/>
    <w:hidden/>
    <w:uiPriority w:val="99"/>
    <w:semiHidden/>
    <w:rsid w:val="00C64EE7"/>
    <w:pPr>
      <w:spacing w:after="0" w:line="240" w:lineRule="auto"/>
    </w:pPr>
  </w:style>
  <w:style w:type="paragraph" w:styleId="Zadevapripombe">
    <w:name w:val="annotation subject"/>
    <w:basedOn w:val="Pripombabesedilo"/>
    <w:next w:val="Pripombabesedilo"/>
    <w:link w:val="ZadevapripombeZnak"/>
    <w:uiPriority w:val="99"/>
    <w:semiHidden/>
    <w:unhideWhenUsed/>
    <w:rsid w:val="00DD5CAB"/>
    <w:rPr>
      <w:b/>
      <w:bCs/>
    </w:rPr>
  </w:style>
  <w:style w:type="character" w:customStyle="1" w:styleId="ZadevapripombeZnak">
    <w:name w:val="Zadeva pripombe Znak"/>
    <w:basedOn w:val="PripombabesediloZnak"/>
    <w:link w:val="Zadevapripombe"/>
    <w:uiPriority w:val="99"/>
    <w:semiHidden/>
    <w:rsid w:val="00DD5CAB"/>
    <w:rPr>
      <w:b/>
      <w:bCs/>
      <w:sz w:val="20"/>
      <w:szCs w:val="20"/>
    </w:rPr>
  </w:style>
  <w:style w:type="table" w:styleId="Tabelamrea">
    <w:name w:val="Table Grid"/>
    <w:basedOn w:val="Navadnatabela"/>
    <w:uiPriority w:val="39"/>
    <w:rsid w:val="005D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4496">
      <w:bodyDiv w:val="1"/>
      <w:marLeft w:val="0"/>
      <w:marRight w:val="0"/>
      <w:marTop w:val="0"/>
      <w:marBottom w:val="0"/>
      <w:divBdr>
        <w:top w:val="none" w:sz="0" w:space="0" w:color="auto"/>
        <w:left w:val="none" w:sz="0" w:space="0" w:color="auto"/>
        <w:bottom w:val="none" w:sz="0" w:space="0" w:color="auto"/>
        <w:right w:val="none" w:sz="0" w:space="0" w:color="auto"/>
      </w:divBdr>
      <w:divsChild>
        <w:div w:id="2101094927">
          <w:marLeft w:val="0"/>
          <w:marRight w:val="0"/>
          <w:marTop w:val="240"/>
          <w:marBottom w:val="0"/>
          <w:divBdr>
            <w:top w:val="none" w:sz="0" w:space="0" w:color="auto"/>
            <w:left w:val="none" w:sz="0" w:space="0" w:color="auto"/>
            <w:bottom w:val="none" w:sz="0" w:space="0" w:color="auto"/>
            <w:right w:val="none" w:sz="0" w:space="0" w:color="auto"/>
          </w:divBdr>
        </w:div>
        <w:div w:id="555507216">
          <w:marLeft w:val="425"/>
          <w:marRight w:val="0"/>
          <w:marTop w:val="0"/>
          <w:marBottom w:val="0"/>
          <w:divBdr>
            <w:top w:val="none" w:sz="0" w:space="0" w:color="auto"/>
            <w:left w:val="none" w:sz="0" w:space="0" w:color="auto"/>
            <w:bottom w:val="none" w:sz="0" w:space="0" w:color="auto"/>
            <w:right w:val="none" w:sz="0" w:space="0" w:color="auto"/>
          </w:divBdr>
          <w:divsChild>
            <w:div w:id="535123988">
              <w:marLeft w:val="0"/>
              <w:marRight w:val="0"/>
              <w:marTop w:val="0"/>
              <w:marBottom w:val="0"/>
              <w:divBdr>
                <w:top w:val="none" w:sz="0" w:space="0" w:color="auto"/>
                <w:left w:val="none" w:sz="0" w:space="0" w:color="auto"/>
                <w:bottom w:val="none" w:sz="0" w:space="0" w:color="auto"/>
                <w:right w:val="none" w:sz="0" w:space="0" w:color="auto"/>
              </w:divBdr>
            </w:div>
          </w:divsChild>
        </w:div>
        <w:div w:id="1988632947">
          <w:marLeft w:val="425"/>
          <w:marRight w:val="0"/>
          <w:marTop w:val="0"/>
          <w:marBottom w:val="0"/>
          <w:divBdr>
            <w:top w:val="none" w:sz="0" w:space="0" w:color="auto"/>
            <w:left w:val="none" w:sz="0" w:space="0" w:color="auto"/>
            <w:bottom w:val="none" w:sz="0" w:space="0" w:color="auto"/>
            <w:right w:val="none" w:sz="0" w:space="0" w:color="auto"/>
          </w:divBdr>
          <w:divsChild>
            <w:div w:id="1054815589">
              <w:marLeft w:val="0"/>
              <w:marRight w:val="0"/>
              <w:marTop w:val="0"/>
              <w:marBottom w:val="0"/>
              <w:divBdr>
                <w:top w:val="none" w:sz="0" w:space="0" w:color="auto"/>
                <w:left w:val="none" w:sz="0" w:space="0" w:color="auto"/>
                <w:bottom w:val="none" w:sz="0" w:space="0" w:color="auto"/>
                <w:right w:val="none" w:sz="0" w:space="0" w:color="auto"/>
              </w:divBdr>
            </w:div>
          </w:divsChild>
        </w:div>
        <w:div w:id="453987137">
          <w:marLeft w:val="425"/>
          <w:marRight w:val="0"/>
          <w:marTop w:val="0"/>
          <w:marBottom w:val="0"/>
          <w:divBdr>
            <w:top w:val="none" w:sz="0" w:space="0" w:color="auto"/>
            <w:left w:val="none" w:sz="0" w:space="0" w:color="auto"/>
            <w:bottom w:val="none" w:sz="0" w:space="0" w:color="auto"/>
            <w:right w:val="none" w:sz="0" w:space="0" w:color="auto"/>
          </w:divBdr>
          <w:divsChild>
            <w:div w:id="1542133389">
              <w:marLeft w:val="0"/>
              <w:marRight w:val="0"/>
              <w:marTop w:val="0"/>
              <w:marBottom w:val="0"/>
              <w:divBdr>
                <w:top w:val="none" w:sz="0" w:space="0" w:color="auto"/>
                <w:left w:val="none" w:sz="0" w:space="0" w:color="auto"/>
                <w:bottom w:val="none" w:sz="0" w:space="0" w:color="auto"/>
                <w:right w:val="none" w:sz="0" w:space="0" w:color="auto"/>
              </w:divBdr>
            </w:div>
          </w:divsChild>
        </w:div>
        <w:div w:id="1606499460">
          <w:marLeft w:val="425"/>
          <w:marRight w:val="0"/>
          <w:marTop w:val="0"/>
          <w:marBottom w:val="0"/>
          <w:divBdr>
            <w:top w:val="none" w:sz="0" w:space="0" w:color="auto"/>
            <w:left w:val="none" w:sz="0" w:space="0" w:color="auto"/>
            <w:bottom w:val="none" w:sz="0" w:space="0" w:color="auto"/>
            <w:right w:val="none" w:sz="0" w:space="0" w:color="auto"/>
          </w:divBdr>
          <w:divsChild>
            <w:div w:id="250818712">
              <w:marLeft w:val="0"/>
              <w:marRight w:val="0"/>
              <w:marTop w:val="0"/>
              <w:marBottom w:val="0"/>
              <w:divBdr>
                <w:top w:val="none" w:sz="0" w:space="0" w:color="auto"/>
                <w:left w:val="none" w:sz="0" w:space="0" w:color="auto"/>
                <w:bottom w:val="none" w:sz="0" w:space="0" w:color="auto"/>
                <w:right w:val="none" w:sz="0" w:space="0" w:color="auto"/>
              </w:divBdr>
            </w:div>
          </w:divsChild>
        </w:div>
        <w:div w:id="64302887">
          <w:marLeft w:val="425"/>
          <w:marRight w:val="0"/>
          <w:marTop w:val="0"/>
          <w:marBottom w:val="0"/>
          <w:divBdr>
            <w:top w:val="none" w:sz="0" w:space="0" w:color="auto"/>
            <w:left w:val="none" w:sz="0" w:space="0" w:color="auto"/>
            <w:bottom w:val="none" w:sz="0" w:space="0" w:color="auto"/>
            <w:right w:val="none" w:sz="0" w:space="0" w:color="auto"/>
          </w:divBdr>
          <w:divsChild>
            <w:div w:id="763919062">
              <w:marLeft w:val="0"/>
              <w:marRight w:val="0"/>
              <w:marTop w:val="0"/>
              <w:marBottom w:val="0"/>
              <w:divBdr>
                <w:top w:val="none" w:sz="0" w:space="0" w:color="auto"/>
                <w:left w:val="none" w:sz="0" w:space="0" w:color="auto"/>
                <w:bottom w:val="none" w:sz="0" w:space="0" w:color="auto"/>
                <w:right w:val="none" w:sz="0" w:space="0" w:color="auto"/>
              </w:divBdr>
            </w:div>
          </w:divsChild>
        </w:div>
        <w:div w:id="1154570641">
          <w:marLeft w:val="425"/>
          <w:marRight w:val="0"/>
          <w:marTop w:val="0"/>
          <w:marBottom w:val="0"/>
          <w:divBdr>
            <w:top w:val="none" w:sz="0" w:space="0" w:color="auto"/>
            <w:left w:val="none" w:sz="0" w:space="0" w:color="auto"/>
            <w:bottom w:val="none" w:sz="0" w:space="0" w:color="auto"/>
            <w:right w:val="none" w:sz="0" w:space="0" w:color="auto"/>
          </w:divBdr>
          <w:divsChild>
            <w:div w:id="1950504461">
              <w:marLeft w:val="0"/>
              <w:marRight w:val="0"/>
              <w:marTop w:val="0"/>
              <w:marBottom w:val="0"/>
              <w:divBdr>
                <w:top w:val="none" w:sz="0" w:space="0" w:color="auto"/>
                <w:left w:val="none" w:sz="0" w:space="0" w:color="auto"/>
                <w:bottom w:val="none" w:sz="0" w:space="0" w:color="auto"/>
                <w:right w:val="none" w:sz="0" w:space="0" w:color="auto"/>
              </w:divBdr>
            </w:div>
          </w:divsChild>
        </w:div>
        <w:div w:id="944078023">
          <w:marLeft w:val="425"/>
          <w:marRight w:val="0"/>
          <w:marTop w:val="0"/>
          <w:marBottom w:val="0"/>
          <w:divBdr>
            <w:top w:val="none" w:sz="0" w:space="0" w:color="auto"/>
            <w:left w:val="none" w:sz="0" w:space="0" w:color="auto"/>
            <w:bottom w:val="none" w:sz="0" w:space="0" w:color="auto"/>
            <w:right w:val="none" w:sz="0" w:space="0" w:color="auto"/>
          </w:divBdr>
          <w:divsChild>
            <w:div w:id="758329559">
              <w:marLeft w:val="0"/>
              <w:marRight w:val="0"/>
              <w:marTop w:val="0"/>
              <w:marBottom w:val="0"/>
              <w:divBdr>
                <w:top w:val="none" w:sz="0" w:space="0" w:color="auto"/>
                <w:left w:val="none" w:sz="0" w:space="0" w:color="auto"/>
                <w:bottom w:val="none" w:sz="0" w:space="0" w:color="auto"/>
                <w:right w:val="none" w:sz="0" w:space="0" w:color="auto"/>
              </w:divBdr>
            </w:div>
          </w:divsChild>
        </w:div>
        <w:div w:id="1859126109">
          <w:marLeft w:val="425"/>
          <w:marRight w:val="0"/>
          <w:marTop w:val="0"/>
          <w:marBottom w:val="0"/>
          <w:divBdr>
            <w:top w:val="none" w:sz="0" w:space="0" w:color="auto"/>
            <w:left w:val="none" w:sz="0" w:space="0" w:color="auto"/>
            <w:bottom w:val="none" w:sz="0" w:space="0" w:color="auto"/>
            <w:right w:val="none" w:sz="0" w:space="0" w:color="auto"/>
          </w:divBdr>
          <w:divsChild>
            <w:div w:id="57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771">
      <w:bodyDiv w:val="1"/>
      <w:marLeft w:val="0"/>
      <w:marRight w:val="0"/>
      <w:marTop w:val="0"/>
      <w:marBottom w:val="0"/>
      <w:divBdr>
        <w:top w:val="none" w:sz="0" w:space="0" w:color="auto"/>
        <w:left w:val="none" w:sz="0" w:space="0" w:color="auto"/>
        <w:bottom w:val="none" w:sz="0" w:space="0" w:color="auto"/>
        <w:right w:val="none" w:sz="0" w:space="0" w:color="auto"/>
      </w:divBdr>
    </w:div>
    <w:div w:id="566840486">
      <w:bodyDiv w:val="1"/>
      <w:marLeft w:val="0"/>
      <w:marRight w:val="0"/>
      <w:marTop w:val="0"/>
      <w:marBottom w:val="0"/>
      <w:divBdr>
        <w:top w:val="none" w:sz="0" w:space="0" w:color="auto"/>
        <w:left w:val="none" w:sz="0" w:space="0" w:color="auto"/>
        <w:bottom w:val="none" w:sz="0" w:space="0" w:color="auto"/>
        <w:right w:val="none" w:sz="0" w:space="0" w:color="auto"/>
      </w:divBdr>
      <w:divsChild>
        <w:div w:id="1271670579">
          <w:marLeft w:val="0"/>
          <w:marRight w:val="0"/>
          <w:marTop w:val="240"/>
          <w:marBottom w:val="0"/>
          <w:divBdr>
            <w:top w:val="none" w:sz="0" w:space="0" w:color="auto"/>
            <w:left w:val="none" w:sz="0" w:space="0" w:color="auto"/>
            <w:bottom w:val="none" w:sz="0" w:space="0" w:color="auto"/>
            <w:right w:val="none" w:sz="0" w:space="0" w:color="auto"/>
          </w:divBdr>
        </w:div>
        <w:div w:id="1077744431">
          <w:marLeft w:val="425"/>
          <w:marRight w:val="0"/>
          <w:marTop w:val="0"/>
          <w:marBottom w:val="0"/>
          <w:divBdr>
            <w:top w:val="none" w:sz="0" w:space="0" w:color="auto"/>
            <w:left w:val="none" w:sz="0" w:space="0" w:color="auto"/>
            <w:bottom w:val="none" w:sz="0" w:space="0" w:color="auto"/>
            <w:right w:val="none" w:sz="0" w:space="0" w:color="auto"/>
          </w:divBdr>
          <w:divsChild>
            <w:div w:id="1966230715">
              <w:marLeft w:val="0"/>
              <w:marRight w:val="0"/>
              <w:marTop w:val="0"/>
              <w:marBottom w:val="0"/>
              <w:divBdr>
                <w:top w:val="none" w:sz="0" w:space="0" w:color="auto"/>
                <w:left w:val="none" w:sz="0" w:space="0" w:color="auto"/>
                <w:bottom w:val="none" w:sz="0" w:space="0" w:color="auto"/>
                <w:right w:val="none" w:sz="0" w:space="0" w:color="auto"/>
              </w:divBdr>
            </w:div>
          </w:divsChild>
        </w:div>
        <w:div w:id="1791706473">
          <w:marLeft w:val="425"/>
          <w:marRight w:val="0"/>
          <w:marTop w:val="0"/>
          <w:marBottom w:val="0"/>
          <w:divBdr>
            <w:top w:val="none" w:sz="0" w:space="0" w:color="auto"/>
            <w:left w:val="none" w:sz="0" w:space="0" w:color="auto"/>
            <w:bottom w:val="none" w:sz="0" w:space="0" w:color="auto"/>
            <w:right w:val="none" w:sz="0" w:space="0" w:color="auto"/>
          </w:divBdr>
          <w:divsChild>
            <w:div w:id="2020234512">
              <w:marLeft w:val="0"/>
              <w:marRight w:val="0"/>
              <w:marTop w:val="0"/>
              <w:marBottom w:val="0"/>
              <w:divBdr>
                <w:top w:val="none" w:sz="0" w:space="0" w:color="auto"/>
                <w:left w:val="none" w:sz="0" w:space="0" w:color="auto"/>
                <w:bottom w:val="none" w:sz="0" w:space="0" w:color="auto"/>
                <w:right w:val="none" w:sz="0" w:space="0" w:color="auto"/>
              </w:divBdr>
            </w:div>
          </w:divsChild>
        </w:div>
        <w:div w:id="176697792">
          <w:marLeft w:val="425"/>
          <w:marRight w:val="0"/>
          <w:marTop w:val="0"/>
          <w:marBottom w:val="0"/>
          <w:divBdr>
            <w:top w:val="none" w:sz="0" w:space="0" w:color="auto"/>
            <w:left w:val="none" w:sz="0" w:space="0" w:color="auto"/>
            <w:bottom w:val="none" w:sz="0" w:space="0" w:color="auto"/>
            <w:right w:val="none" w:sz="0" w:space="0" w:color="auto"/>
          </w:divBdr>
          <w:divsChild>
            <w:div w:id="1915701867">
              <w:marLeft w:val="0"/>
              <w:marRight w:val="0"/>
              <w:marTop w:val="0"/>
              <w:marBottom w:val="0"/>
              <w:divBdr>
                <w:top w:val="none" w:sz="0" w:space="0" w:color="auto"/>
                <w:left w:val="none" w:sz="0" w:space="0" w:color="auto"/>
                <w:bottom w:val="none" w:sz="0" w:space="0" w:color="auto"/>
                <w:right w:val="none" w:sz="0" w:space="0" w:color="auto"/>
              </w:divBdr>
            </w:div>
          </w:divsChild>
        </w:div>
        <w:div w:id="807092620">
          <w:marLeft w:val="425"/>
          <w:marRight w:val="0"/>
          <w:marTop w:val="0"/>
          <w:marBottom w:val="0"/>
          <w:divBdr>
            <w:top w:val="none" w:sz="0" w:space="0" w:color="auto"/>
            <w:left w:val="none" w:sz="0" w:space="0" w:color="auto"/>
            <w:bottom w:val="none" w:sz="0" w:space="0" w:color="auto"/>
            <w:right w:val="none" w:sz="0" w:space="0" w:color="auto"/>
          </w:divBdr>
          <w:divsChild>
            <w:div w:id="813713888">
              <w:marLeft w:val="0"/>
              <w:marRight w:val="0"/>
              <w:marTop w:val="0"/>
              <w:marBottom w:val="0"/>
              <w:divBdr>
                <w:top w:val="none" w:sz="0" w:space="0" w:color="auto"/>
                <w:left w:val="none" w:sz="0" w:space="0" w:color="auto"/>
                <w:bottom w:val="none" w:sz="0" w:space="0" w:color="auto"/>
                <w:right w:val="none" w:sz="0" w:space="0" w:color="auto"/>
              </w:divBdr>
            </w:div>
          </w:divsChild>
        </w:div>
        <w:div w:id="551312726">
          <w:marLeft w:val="425"/>
          <w:marRight w:val="0"/>
          <w:marTop w:val="0"/>
          <w:marBottom w:val="0"/>
          <w:divBdr>
            <w:top w:val="none" w:sz="0" w:space="0" w:color="auto"/>
            <w:left w:val="none" w:sz="0" w:space="0" w:color="auto"/>
            <w:bottom w:val="none" w:sz="0" w:space="0" w:color="auto"/>
            <w:right w:val="none" w:sz="0" w:space="0" w:color="auto"/>
          </w:divBdr>
          <w:divsChild>
            <w:div w:id="583031048">
              <w:marLeft w:val="0"/>
              <w:marRight w:val="0"/>
              <w:marTop w:val="0"/>
              <w:marBottom w:val="0"/>
              <w:divBdr>
                <w:top w:val="none" w:sz="0" w:space="0" w:color="auto"/>
                <w:left w:val="none" w:sz="0" w:space="0" w:color="auto"/>
                <w:bottom w:val="none" w:sz="0" w:space="0" w:color="auto"/>
                <w:right w:val="none" w:sz="0" w:space="0" w:color="auto"/>
              </w:divBdr>
            </w:div>
          </w:divsChild>
        </w:div>
        <w:div w:id="1760756657">
          <w:marLeft w:val="425"/>
          <w:marRight w:val="0"/>
          <w:marTop w:val="0"/>
          <w:marBottom w:val="0"/>
          <w:divBdr>
            <w:top w:val="none" w:sz="0" w:space="0" w:color="auto"/>
            <w:left w:val="none" w:sz="0" w:space="0" w:color="auto"/>
            <w:bottom w:val="none" w:sz="0" w:space="0" w:color="auto"/>
            <w:right w:val="none" w:sz="0" w:space="0" w:color="auto"/>
          </w:divBdr>
          <w:divsChild>
            <w:div w:id="1560550855">
              <w:marLeft w:val="0"/>
              <w:marRight w:val="0"/>
              <w:marTop w:val="0"/>
              <w:marBottom w:val="0"/>
              <w:divBdr>
                <w:top w:val="none" w:sz="0" w:space="0" w:color="auto"/>
                <w:left w:val="none" w:sz="0" w:space="0" w:color="auto"/>
                <w:bottom w:val="none" w:sz="0" w:space="0" w:color="auto"/>
                <w:right w:val="none" w:sz="0" w:space="0" w:color="auto"/>
              </w:divBdr>
            </w:div>
          </w:divsChild>
        </w:div>
        <w:div w:id="550000920">
          <w:marLeft w:val="425"/>
          <w:marRight w:val="0"/>
          <w:marTop w:val="0"/>
          <w:marBottom w:val="0"/>
          <w:divBdr>
            <w:top w:val="none" w:sz="0" w:space="0" w:color="auto"/>
            <w:left w:val="none" w:sz="0" w:space="0" w:color="auto"/>
            <w:bottom w:val="none" w:sz="0" w:space="0" w:color="auto"/>
            <w:right w:val="none" w:sz="0" w:space="0" w:color="auto"/>
          </w:divBdr>
          <w:divsChild>
            <w:div w:id="369455129">
              <w:marLeft w:val="0"/>
              <w:marRight w:val="0"/>
              <w:marTop w:val="0"/>
              <w:marBottom w:val="0"/>
              <w:divBdr>
                <w:top w:val="none" w:sz="0" w:space="0" w:color="auto"/>
                <w:left w:val="none" w:sz="0" w:space="0" w:color="auto"/>
                <w:bottom w:val="none" w:sz="0" w:space="0" w:color="auto"/>
                <w:right w:val="none" w:sz="0" w:space="0" w:color="auto"/>
              </w:divBdr>
            </w:div>
          </w:divsChild>
        </w:div>
        <w:div w:id="1729650939">
          <w:marLeft w:val="425"/>
          <w:marRight w:val="0"/>
          <w:marTop w:val="0"/>
          <w:marBottom w:val="0"/>
          <w:divBdr>
            <w:top w:val="none" w:sz="0" w:space="0" w:color="auto"/>
            <w:left w:val="none" w:sz="0" w:space="0" w:color="auto"/>
            <w:bottom w:val="none" w:sz="0" w:space="0" w:color="auto"/>
            <w:right w:val="none" w:sz="0" w:space="0" w:color="auto"/>
          </w:divBdr>
          <w:divsChild>
            <w:div w:id="5398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3803">
      <w:bodyDiv w:val="1"/>
      <w:marLeft w:val="0"/>
      <w:marRight w:val="0"/>
      <w:marTop w:val="0"/>
      <w:marBottom w:val="0"/>
      <w:divBdr>
        <w:top w:val="none" w:sz="0" w:space="0" w:color="auto"/>
        <w:left w:val="none" w:sz="0" w:space="0" w:color="auto"/>
        <w:bottom w:val="none" w:sz="0" w:space="0" w:color="auto"/>
        <w:right w:val="none" w:sz="0" w:space="0" w:color="auto"/>
      </w:divBdr>
    </w:div>
    <w:div w:id="703478885">
      <w:bodyDiv w:val="1"/>
      <w:marLeft w:val="0"/>
      <w:marRight w:val="0"/>
      <w:marTop w:val="0"/>
      <w:marBottom w:val="0"/>
      <w:divBdr>
        <w:top w:val="none" w:sz="0" w:space="0" w:color="auto"/>
        <w:left w:val="none" w:sz="0" w:space="0" w:color="auto"/>
        <w:bottom w:val="none" w:sz="0" w:space="0" w:color="auto"/>
        <w:right w:val="none" w:sz="0" w:space="0" w:color="auto"/>
      </w:divBdr>
    </w:div>
    <w:div w:id="738752204">
      <w:bodyDiv w:val="1"/>
      <w:marLeft w:val="0"/>
      <w:marRight w:val="0"/>
      <w:marTop w:val="0"/>
      <w:marBottom w:val="0"/>
      <w:divBdr>
        <w:top w:val="none" w:sz="0" w:space="0" w:color="auto"/>
        <w:left w:val="none" w:sz="0" w:space="0" w:color="auto"/>
        <w:bottom w:val="none" w:sz="0" w:space="0" w:color="auto"/>
        <w:right w:val="none" w:sz="0" w:space="0" w:color="auto"/>
      </w:divBdr>
    </w:div>
    <w:div w:id="1038122919">
      <w:bodyDiv w:val="1"/>
      <w:marLeft w:val="0"/>
      <w:marRight w:val="0"/>
      <w:marTop w:val="0"/>
      <w:marBottom w:val="0"/>
      <w:divBdr>
        <w:top w:val="none" w:sz="0" w:space="0" w:color="auto"/>
        <w:left w:val="none" w:sz="0" w:space="0" w:color="auto"/>
        <w:bottom w:val="none" w:sz="0" w:space="0" w:color="auto"/>
        <w:right w:val="none" w:sz="0" w:space="0" w:color="auto"/>
      </w:divBdr>
    </w:div>
    <w:div w:id="1063716913">
      <w:bodyDiv w:val="1"/>
      <w:marLeft w:val="0"/>
      <w:marRight w:val="0"/>
      <w:marTop w:val="0"/>
      <w:marBottom w:val="0"/>
      <w:divBdr>
        <w:top w:val="none" w:sz="0" w:space="0" w:color="auto"/>
        <w:left w:val="none" w:sz="0" w:space="0" w:color="auto"/>
        <w:bottom w:val="none" w:sz="0" w:space="0" w:color="auto"/>
        <w:right w:val="none" w:sz="0" w:space="0" w:color="auto"/>
      </w:divBdr>
    </w:div>
    <w:div w:id="1620261308">
      <w:bodyDiv w:val="1"/>
      <w:marLeft w:val="0"/>
      <w:marRight w:val="0"/>
      <w:marTop w:val="0"/>
      <w:marBottom w:val="0"/>
      <w:divBdr>
        <w:top w:val="none" w:sz="0" w:space="0" w:color="auto"/>
        <w:left w:val="none" w:sz="0" w:space="0" w:color="auto"/>
        <w:bottom w:val="none" w:sz="0" w:space="0" w:color="auto"/>
        <w:right w:val="none" w:sz="0" w:space="0" w:color="auto"/>
      </w:divBdr>
      <w:divsChild>
        <w:div w:id="514541915">
          <w:marLeft w:val="0"/>
          <w:marRight w:val="0"/>
          <w:marTop w:val="240"/>
          <w:marBottom w:val="0"/>
          <w:divBdr>
            <w:top w:val="none" w:sz="0" w:space="0" w:color="auto"/>
            <w:left w:val="none" w:sz="0" w:space="0" w:color="auto"/>
            <w:bottom w:val="none" w:sz="0" w:space="0" w:color="auto"/>
            <w:right w:val="none" w:sz="0" w:space="0" w:color="auto"/>
          </w:divBdr>
        </w:div>
        <w:div w:id="925385489">
          <w:marLeft w:val="0"/>
          <w:marRight w:val="0"/>
          <w:marTop w:val="240"/>
          <w:marBottom w:val="0"/>
          <w:divBdr>
            <w:top w:val="none" w:sz="0" w:space="0" w:color="auto"/>
            <w:left w:val="none" w:sz="0" w:space="0" w:color="auto"/>
            <w:bottom w:val="none" w:sz="0" w:space="0" w:color="auto"/>
            <w:right w:val="none" w:sz="0" w:space="0" w:color="auto"/>
          </w:divBdr>
        </w:div>
        <w:div w:id="1839149969">
          <w:marLeft w:val="0"/>
          <w:marRight w:val="0"/>
          <w:marTop w:val="240"/>
          <w:marBottom w:val="0"/>
          <w:divBdr>
            <w:top w:val="none" w:sz="0" w:space="0" w:color="auto"/>
            <w:left w:val="none" w:sz="0" w:space="0" w:color="auto"/>
            <w:bottom w:val="none" w:sz="0" w:space="0" w:color="auto"/>
            <w:right w:val="none" w:sz="0" w:space="0" w:color="auto"/>
          </w:divBdr>
        </w:div>
      </w:divsChild>
    </w:div>
    <w:div w:id="1690108177">
      <w:bodyDiv w:val="1"/>
      <w:marLeft w:val="0"/>
      <w:marRight w:val="0"/>
      <w:marTop w:val="0"/>
      <w:marBottom w:val="0"/>
      <w:divBdr>
        <w:top w:val="none" w:sz="0" w:space="0" w:color="auto"/>
        <w:left w:val="none" w:sz="0" w:space="0" w:color="auto"/>
        <w:bottom w:val="none" w:sz="0" w:space="0" w:color="auto"/>
        <w:right w:val="none" w:sz="0" w:space="0" w:color="auto"/>
      </w:divBdr>
    </w:div>
    <w:div w:id="1828936321">
      <w:bodyDiv w:val="1"/>
      <w:marLeft w:val="0"/>
      <w:marRight w:val="0"/>
      <w:marTop w:val="0"/>
      <w:marBottom w:val="0"/>
      <w:divBdr>
        <w:top w:val="none" w:sz="0" w:space="0" w:color="auto"/>
        <w:left w:val="none" w:sz="0" w:space="0" w:color="auto"/>
        <w:bottom w:val="none" w:sz="0" w:space="0" w:color="auto"/>
        <w:right w:val="none" w:sz="0" w:space="0" w:color="auto"/>
      </w:divBdr>
      <w:divsChild>
        <w:div w:id="2098331886">
          <w:marLeft w:val="0"/>
          <w:marRight w:val="0"/>
          <w:marTop w:val="240"/>
          <w:marBottom w:val="0"/>
          <w:divBdr>
            <w:top w:val="none" w:sz="0" w:space="0" w:color="auto"/>
            <w:left w:val="none" w:sz="0" w:space="0" w:color="auto"/>
            <w:bottom w:val="none" w:sz="0" w:space="0" w:color="auto"/>
            <w:right w:val="none" w:sz="0" w:space="0" w:color="auto"/>
          </w:divBdr>
        </w:div>
        <w:div w:id="564410247">
          <w:marLeft w:val="0"/>
          <w:marRight w:val="0"/>
          <w:marTop w:val="240"/>
          <w:marBottom w:val="0"/>
          <w:divBdr>
            <w:top w:val="none" w:sz="0" w:space="0" w:color="auto"/>
            <w:left w:val="none" w:sz="0" w:space="0" w:color="auto"/>
            <w:bottom w:val="none" w:sz="0" w:space="0" w:color="auto"/>
            <w:right w:val="none" w:sz="0" w:space="0" w:color="auto"/>
          </w:divBdr>
        </w:div>
        <w:div w:id="1291324116">
          <w:marLeft w:val="0"/>
          <w:marRight w:val="0"/>
          <w:marTop w:val="240"/>
          <w:marBottom w:val="0"/>
          <w:divBdr>
            <w:top w:val="none" w:sz="0" w:space="0" w:color="auto"/>
            <w:left w:val="none" w:sz="0" w:space="0" w:color="auto"/>
            <w:bottom w:val="none" w:sz="0" w:space="0" w:color="auto"/>
            <w:right w:val="none" w:sz="0" w:space="0" w:color="auto"/>
          </w:divBdr>
        </w:div>
      </w:divsChild>
    </w:div>
    <w:div w:id="18944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F89576-338C-4F5B-9FB9-D404EE9B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Nagy</dc:creator>
  <cp:keywords/>
  <dc:description/>
  <cp:lastModifiedBy>Ana Per</cp:lastModifiedBy>
  <cp:revision>2</cp:revision>
  <cp:lastPrinted>2025-12-18T08:54:00Z</cp:lastPrinted>
  <dcterms:created xsi:type="dcterms:W3CDTF">2025-12-24T08:32:00Z</dcterms:created>
  <dcterms:modified xsi:type="dcterms:W3CDTF">2025-12-24T08:32:00Z</dcterms:modified>
</cp:coreProperties>
</file>