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E7FB9" w14:textId="0024E159" w:rsidR="000759EF" w:rsidRPr="004A448A" w:rsidRDefault="000759EF" w:rsidP="000759EF">
      <w:pPr>
        <w:jc w:val="center"/>
        <w:rPr>
          <w:rFonts w:cs="Arial"/>
          <w:b/>
          <w:bCs/>
          <w:szCs w:val="20"/>
          <w:lang w:val="sl-SI"/>
        </w:rPr>
      </w:pPr>
      <w:r w:rsidRPr="004A448A">
        <w:rPr>
          <w:rFonts w:cs="Arial"/>
          <w:b/>
          <w:bCs/>
          <w:szCs w:val="20"/>
          <w:lang w:val="sl-SI"/>
        </w:rPr>
        <w:t>Novela Zakona o financiranju občin (ZFO-1)</w:t>
      </w:r>
    </w:p>
    <w:p w14:paraId="21E5BF3F" w14:textId="25B5C61F" w:rsidR="000759EF" w:rsidRPr="004A448A" w:rsidRDefault="000759EF" w:rsidP="000759EF">
      <w:pPr>
        <w:jc w:val="center"/>
        <w:rPr>
          <w:rFonts w:cs="Arial"/>
          <w:b/>
          <w:bCs/>
          <w:szCs w:val="20"/>
          <w:lang w:val="sl-SI"/>
        </w:rPr>
      </w:pPr>
      <w:r w:rsidRPr="004A448A">
        <w:rPr>
          <w:rFonts w:cs="Arial"/>
          <w:b/>
          <w:bCs/>
          <w:szCs w:val="20"/>
          <w:lang w:val="sl-SI"/>
        </w:rPr>
        <w:t xml:space="preserve">Verzija </w:t>
      </w:r>
      <w:r w:rsidR="008F23CD">
        <w:rPr>
          <w:rFonts w:cs="Arial"/>
          <w:b/>
          <w:bCs/>
          <w:szCs w:val="20"/>
          <w:lang w:val="sl-SI"/>
        </w:rPr>
        <w:t>25</w:t>
      </w:r>
      <w:r w:rsidR="0052346C" w:rsidRPr="004A448A">
        <w:rPr>
          <w:rFonts w:cs="Arial"/>
          <w:b/>
          <w:bCs/>
          <w:szCs w:val="20"/>
          <w:lang w:val="sl-SI"/>
        </w:rPr>
        <w:t>.1</w:t>
      </w:r>
      <w:r w:rsidRPr="004A448A">
        <w:rPr>
          <w:rFonts w:cs="Arial"/>
          <w:b/>
          <w:bCs/>
          <w:szCs w:val="20"/>
          <w:lang w:val="sl-SI"/>
        </w:rPr>
        <w:t>. 202</w:t>
      </w:r>
      <w:r w:rsidR="008F23CD">
        <w:rPr>
          <w:rFonts w:cs="Arial"/>
          <w:b/>
          <w:bCs/>
          <w:szCs w:val="20"/>
          <w:lang w:val="sl-SI"/>
        </w:rPr>
        <w:t>4</w:t>
      </w:r>
    </w:p>
    <w:p w14:paraId="71963BC5" w14:textId="2B7FF931" w:rsidR="000759EF" w:rsidRPr="004A448A" w:rsidRDefault="000759EF" w:rsidP="000759EF">
      <w:pPr>
        <w:jc w:val="center"/>
        <w:rPr>
          <w:rFonts w:cs="Arial"/>
          <w:b/>
          <w:bCs/>
          <w:szCs w:val="20"/>
          <w:lang w:val="sl-SI"/>
        </w:rPr>
      </w:pPr>
    </w:p>
    <w:p w14:paraId="678793C1" w14:textId="4D902455" w:rsidR="000759EF" w:rsidRPr="004A448A" w:rsidRDefault="000759EF" w:rsidP="00D5491B">
      <w:pPr>
        <w:jc w:val="both"/>
        <w:rPr>
          <w:rFonts w:cs="Arial"/>
          <w:b/>
          <w:bCs/>
          <w:szCs w:val="20"/>
          <w:lang w:val="sl-SI"/>
        </w:rPr>
      </w:pPr>
    </w:p>
    <w:p w14:paraId="2DCEBAFB" w14:textId="213AA76E" w:rsidR="00D5491B" w:rsidRPr="004A448A" w:rsidRDefault="0052346C" w:rsidP="00D5491B">
      <w:pPr>
        <w:jc w:val="both"/>
        <w:rPr>
          <w:rFonts w:cs="Arial"/>
          <w:b/>
          <w:bCs/>
          <w:szCs w:val="20"/>
          <w:lang w:val="sl-SI"/>
        </w:rPr>
      </w:pPr>
      <w:r w:rsidRPr="004A448A">
        <w:rPr>
          <w:rFonts w:cs="Arial"/>
          <w:b/>
          <w:bCs/>
          <w:szCs w:val="20"/>
          <w:lang w:val="sl-SI"/>
        </w:rPr>
        <w:t>I. POVZETEK</w:t>
      </w:r>
    </w:p>
    <w:p w14:paraId="0CF2632A" w14:textId="77777777" w:rsidR="0040762B" w:rsidRPr="004A448A" w:rsidRDefault="0040762B" w:rsidP="00D5491B">
      <w:pPr>
        <w:jc w:val="both"/>
        <w:rPr>
          <w:rFonts w:cs="Arial"/>
          <w:b/>
          <w:bCs/>
          <w:szCs w:val="20"/>
          <w:lang w:val="sl-SI"/>
        </w:rPr>
      </w:pPr>
    </w:p>
    <w:p w14:paraId="3A164FAA" w14:textId="5BD8D24E" w:rsidR="00D5491B" w:rsidRPr="004A448A" w:rsidRDefault="00D5491B" w:rsidP="00B81055">
      <w:pPr>
        <w:pStyle w:val="Odstavekseznama"/>
        <w:numPr>
          <w:ilvl w:val="0"/>
          <w:numId w:val="15"/>
        </w:numPr>
        <w:jc w:val="both"/>
        <w:rPr>
          <w:rFonts w:ascii="Arial" w:hAnsi="Arial" w:cs="Arial"/>
          <w:b/>
          <w:bCs/>
          <w:sz w:val="20"/>
          <w:szCs w:val="20"/>
        </w:rPr>
      </w:pPr>
      <w:bookmarkStart w:id="0" w:name="_GoBack"/>
      <w:r w:rsidRPr="004A448A">
        <w:rPr>
          <w:rFonts w:ascii="Arial" w:hAnsi="Arial" w:cs="Arial"/>
          <w:b/>
          <w:bCs/>
          <w:sz w:val="20"/>
          <w:szCs w:val="20"/>
        </w:rPr>
        <w:t>Občine se lahko zadolžujejo v tujini in izdajo občinske obveznice</w:t>
      </w:r>
    </w:p>
    <w:p w14:paraId="2808EC9A" w14:textId="405BE0F8" w:rsidR="00D5491B" w:rsidRPr="004A448A" w:rsidRDefault="00D5491B" w:rsidP="00B81055">
      <w:pPr>
        <w:pStyle w:val="Odstavekseznama"/>
        <w:numPr>
          <w:ilvl w:val="0"/>
          <w:numId w:val="15"/>
        </w:numPr>
        <w:jc w:val="both"/>
        <w:rPr>
          <w:rFonts w:ascii="Arial" w:hAnsi="Arial" w:cs="Arial"/>
          <w:b/>
          <w:bCs/>
          <w:sz w:val="20"/>
          <w:szCs w:val="20"/>
        </w:rPr>
      </w:pPr>
      <w:r w:rsidRPr="004A448A">
        <w:rPr>
          <w:rFonts w:ascii="Arial" w:hAnsi="Arial" w:cs="Arial"/>
          <w:b/>
          <w:bCs/>
          <w:sz w:val="20"/>
          <w:szCs w:val="20"/>
        </w:rPr>
        <w:t>Omejitev zadolžitve občin se iz 10</w:t>
      </w:r>
      <w:r w:rsidR="00B81055" w:rsidRPr="004A448A">
        <w:rPr>
          <w:rFonts w:ascii="Arial" w:hAnsi="Arial" w:cs="Arial"/>
          <w:b/>
          <w:bCs/>
          <w:sz w:val="20"/>
          <w:szCs w:val="20"/>
        </w:rPr>
        <w:t xml:space="preserve"> </w:t>
      </w:r>
      <w:r w:rsidRPr="004A448A">
        <w:rPr>
          <w:rFonts w:ascii="Arial" w:hAnsi="Arial" w:cs="Arial"/>
          <w:b/>
          <w:bCs/>
          <w:sz w:val="20"/>
          <w:szCs w:val="20"/>
        </w:rPr>
        <w:t>% dvigne na 15</w:t>
      </w:r>
      <w:r w:rsidR="00B81055" w:rsidRPr="004A448A">
        <w:rPr>
          <w:rFonts w:ascii="Arial" w:hAnsi="Arial" w:cs="Arial"/>
          <w:b/>
          <w:bCs/>
          <w:sz w:val="20"/>
          <w:szCs w:val="20"/>
        </w:rPr>
        <w:t xml:space="preserve"> </w:t>
      </w:r>
      <w:r w:rsidRPr="004A448A">
        <w:rPr>
          <w:rFonts w:ascii="Arial" w:hAnsi="Arial" w:cs="Arial"/>
          <w:b/>
          <w:bCs/>
          <w:sz w:val="20"/>
          <w:szCs w:val="20"/>
        </w:rPr>
        <w:t>%</w:t>
      </w:r>
    </w:p>
    <w:p w14:paraId="1666F2EB" w14:textId="6536BAA8" w:rsidR="00D5491B" w:rsidRPr="004A448A" w:rsidRDefault="00D5491B" w:rsidP="00B81055">
      <w:pPr>
        <w:pStyle w:val="Odstavekseznama"/>
        <w:numPr>
          <w:ilvl w:val="0"/>
          <w:numId w:val="15"/>
        </w:numPr>
        <w:jc w:val="both"/>
        <w:rPr>
          <w:rFonts w:ascii="Arial" w:hAnsi="Arial" w:cs="Arial"/>
          <w:b/>
          <w:bCs/>
          <w:sz w:val="20"/>
          <w:szCs w:val="20"/>
        </w:rPr>
      </w:pPr>
      <w:r w:rsidRPr="004A448A">
        <w:rPr>
          <w:rFonts w:ascii="Arial" w:hAnsi="Arial" w:cs="Arial"/>
          <w:b/>
          <w:bCs/>
          <w:sz w:val="20"/>
          <w:szCs w:val="20"/>
        </w:rPr>
        <w:t>Uvaja se sanacijski postop</w:t>
      </w:r>
      <w:r w:rsidR="00B81055" w:rsidRPr="004A448A">
        <w:rPr>
          <w:rFonts w:ascii="Arial" w:hAnsi="Arial" w:cs="Arial"/>
          <w:b/>
          <w:bCs/>
          <w:sz w:val="20"/>
          <w:szCs w:val="20"/>
        </w:rPr>
        <w:t>e</w:t>
      </w:r>
      <w:r w:rsidRPr="004A448A">
        <w:rPr>
          <w:rFonts w:ascii="Arial" w:hAnsi="Arial" w:cs="Arial"/>
          <w:b/>
          <w:bCs/>
          <w:sz w:val="20"/>
          <w:szCs w:val="20"/>
        </w:rPr>
        <w:t>k za prezadolžene občine (trajna nelikvidnost in presežek za 2 % realiziranih prihodkov)</w:t>
      </w:r>
    </w:p>
    <w:p w14:paraId="76A42865" w14:textId="62B24EAD" w:rsidR="00D5491B" w:rsidRPr="004A448A" w:rsidRDefault="00D5491B" w:rsidP="00B81055">
      <w:pPr>
        <w:pStyle w:val="Odstavekseznama"/>
        <w:numPr>
          <w:ilvl w:val="0"/>
          <w:numId w:val="15"/>
        </w:numPr>
        <w:jc w:val="both"/>
        <w:rPr>
          <w:rFonts w:ascii="Arial" w:hAnsi="Arial" w:cs="Arial"/>
          <w:b/>
          <w:bCs/>
          <w:sz w:val="20"/>
          <w:szCs w:val="20"/>
        </w:rPr>
      </w:pPr>
      <w:r w:rsidRPr="004A448A">
        <w:rPr>
          <w:rFonts w:ascii="Arial" w:hAnsi="Arial" w:cs="Arial"/>
          <w:b/>
          <w:bCs/>
          <w:sz w:val="20"/>
          <w:szCs w:val="20"/>
        </w:rPr>
        <w:t xml:space="preserve">Z dopolnitvijo enačbe za izračun primerne porabe se realizira 2. točka Dogovora o višini povprečnine, podpisanega oktobra 2023 (nadpovprečni tekoči transferi občin, ki odražajo tudi rast plač); finančni učinek </w:t>
      </w:r>
      <w:r w:rsidR="00B81055" w:rsidRPr="004A448A">
        <w:rPr>
          <w:rFonts w:ascii="Arial" w:hAnsi="Arial" w:cs="Arial"/>
          <w:b/>
          <w:bCs/>
          <w:sz w:val="20"/>
          <w:szCs w:val="20"/>
        </w:rPr>
        <w:t xml:space="preserve">v 2024 </w:t>
      </w:r>
      <w:r w:rsidRPr="004A448A">
        <w:rPr>
          <w:rFonts w:ascii="Arial" w:hAnsi="Arial" w:cs="Arial"/>
          <w:b/>
          <w:bCs/>
          <w:sz w:val="20"/>
          <w:szCs w:val="20"/>
        </w:rPr>
        <w:t xml:space="preserve">iz dogovora </w:t>
      </w:r>
      <w:r w:rsidR="00B81055" w:rsidRPr="004A448A">
        <w:rPr>
          <w:rFonts w:ascii="Arial" w:hAnsi="Arial" w:cs="Arial"/>
          <w:b/>
          <w:bCs/>
          <w:sz w:val="20"/>
          <w:szCs w:val="20"/>
        </w:rPr>
        <w:t xml:space="preserve">je </w:t>
      </w:r>
      <w:r w:rsidRPr="004A448A">
        <w:rPr>
          <w:rFonts w:ascii="Arial" w:hAnsi="Arial" w:cs="Arial"/>
          <w:b/>
          <w:bCs/>
          <w:sz w:val="20"/>
          <w:szCs w:val="20"/>
        </w:rPr>
        <w:t xml:space="preserve">20 mio EUR </w:t>
      </w:r>
    </w:p>
    <w:p w14:paraId="48A5761B" w14:textId="11BCC97F" w:rsidR="00D5491B" w:rsidRPr="004A448A" w:rsidRDefault="00D5491B" w:rsidP="00B81055">
      <w:pPr>
        <w:pStyle w:val="Odstavekseznama"/>
        <w:numPr>
          <w:ilvl w:val="0"/>
          <w:numId w:val="15"/>
        </w:numPr>
        <w:jc w:val="both"/>
        <w:rPr>
          <w:rFonts w:ascii="Arial" w:hAnsi="Arial" w:cs="Arial"/>
          <w:b/>
          <w:bCs/>
          <w:sz w:val="20"/>
          <w:szCs w:val="20"/>
        </w:rPr>
      </w:pPr>
      <w:r w:rsidRPr="004A448A">
        <w:rPr>
          <w:rFonts w:ascii="Arial" w:hAnsi="Arial" w:cs="Arial"/>
          <w:b/>
          <w:bCs/>
          <w:sz w:val="20"/>
          <w:szCs w:val="20"/>
        </w:rPr>
        <w:t>Sofinanciranje občin z romskimi naselji se spremeni tako, da so sredstva namenska, name</w:t>
      </w:r>
      <w:r w:rsidR="00B81055" w:rsidRPr="004A448A">
        <w:rPr>
          <w:rFonts w:ascii="Arial" w:hAnsi="Arial" w:cs="Arial"/>
          <w:b/>
          <w:bCs/>
          <w:sz w:val="20"/>
          <w:szCs w:val="20"/>
        </w:rPr>
        <w:t>n</w:t>
      </w:r>
      <w:r w:rsidRPr="004A448A">
        <w:rPr>
          <w:rFonts w:ascii="Arial" w:hAnsi="Arial" w:cs="Arial"/>
          <w:b/>
          <w:bCs/>
          <w:sz w:val="20"/>
          <w:szCs w:val="20"/>
        </w:rPr>
        <w:t xml:space="preserve">e ugotavlja Urad za narodnosti, višina sredstev za občine ostaja na ravni 2024, cca 8 mio EUR) </w:t>
      </w:r>
    </w:p>
    <w:p w14:paraId="61CF9C57" w14:textId="6725D705" w:rsidR="00D5491B" w:rsidRPr="004A448A" w:rsidRDefault="00D5491B" w:rsidP="00B81055">
      <w:pPr>
        <w:pStyle w:val="Odstavekseznama"/>
        <w:numPr>
          <w:ilvl w:val="0"/>
          <w:numId w:val="15"/>
        </w:numPr>
        <w:jc w:val="both"/>
        <w:rPr>
          <w:rFonts w:ascii="Arial" w:hAnsi="Arial" w:cs="Arial"/>
          <w:b/>
          <w:bCs/>
          <w:sz w:val="20"/>
          <w:szCs w:val="20"/>
        </w:rPr>
      </w:pPr>
      <w:r w:rsidRPr="004A448A">
        <w:rPr>
          <w:rFonts w:ascii="Arial" w:hAnsi="Arial" w:cs="Arial"/>
          <w:b/>
          <w:bCs/>
          <w:sz w:val="20"/>
          <w:szCs w:val="20"/>
        </w:rPr>
        <w:t>Spremeni se podlaga za ugotavljanje razvitosti občin (novi kazalniki so nastali na podlagi študije CDP Kazalniki razvitosti občin)</w:t>
      </w:r>
    </w:p>
    <w:p w14:paraId="31B6C272" w14:textId="3EEEF876" w:rsidR="00D5491B" w:rsidRPr="004A448A" w:rsidRDefault="004D0D9C" w:rsidP="00B81055">
      <w:pPr>
        <w:pStyle w:val="Odstavekseznama"/>
        <w:numPr>
          <w:ilvl w:val="0"/>
          <w:numId w:val="15"/>
        </w:numPr>
        <w:jc w:val="both"/>
        <w:rPr>
          <w:rFonts w:ascii="Arial" w:hAnsi="Arial" w:cs="Arial"/>
          <w:b/>
          <w:bCs/>
          <w:sz w:val="20"/>
          <w:szCs w:val="20"/>
        </w:rPr>
      </w:pPr>
      <w:r>
        <w:rPr>
          <w:rFonts w:ascii="Arial" w:hAnsi="Arial" w:cs="Arial"/>
          <w:b/>
          <w:bCs/>
          <w:sz w:val="20"/>
          <w:szCs w:val="20"/>
        </w:rPr>
        <w:t>Poenostavi</w:t>
      </w:r>
      <w:r w:rsidR="00D5491B" w:rsidRPr="004A448A">
        <w:rPr>
          <w:rFonts w:ascii="Arial" w:hAnsi="Arial" w:cs="Arial"/>
          <w:b/>
          <w:bCs/>
          <w:sz w:val="20"/>
          <w:szCs w:val="20"/>
        </w:rPr>
        <w:t xml:space="preserve"> se sofinanciranje skupnih občinskih uprav</w:t>
      </w:r>
      <w:r>
        <w:rPr>
          <w:rFonts w:ascii="Arial" w:hAnsi="Arial" w:cs="Arial"/>
          <w:b/>
          <w:bCs/>
          <w:sz w:val="20"/>
          <w:szCs w:val="20"/>
        </w:rPr>
        <w:t>, hkrati se uvede zgornjo omejitev sredstev, ki jih je mogoče za ta namen izplačati občinam iz državnega proračuna (0,</w:t>
      </w:r>
      <w:r w:rsidR="003327B6">
        <w:rPr>
          <w:rFonts w:ascii="Arial" w:hAnsi="Arial" w:cs="Arial"/>
          <w:b/>
          <w:bCs/>
          <w:sz w:val="20"/>
          <w:szCs w:val="20"/>
        </w:rPr>
        <w:t>7</w:t>
      </w:r>
      <w:r>
        <w:rPr>
          <w:rFonts w:ascii="Arial" w:hAnsi="Arial" w:cs="Arial"/>
          <w:b/>
          <w:bCs/>
          <w:sz w:val="20"/>
          <w:szCs w:val="20"/>
        </w:rPr>
        <w:t xml:space="preserve"> % skupne primerne porabe občin</w:t>
      </w:r>
      <w:r w:rsidR="00C257D1">
        <w:rPr>
          <w:rFonts w:ascii="Arial" w:hAnsi="Arial" w:cs="Arial"/>
          <w:b/>
          <w:bCs/>
          <w:sz w:val="20"/>
          <w:szCs w:val="20"/>
        </w:rPr>
        <w:t xml:space="preserve">, kar </w:t>
      </w:r>
      <w:r>
        <w:rPr>
          <w:rFonts w:ascii="Arial" w:hAnsi="Arial" w:cs="Arial"/>
          <w:b/>
          <w:bCs/>
          <w:sz w:val="20"/>
          <w:szCs w:val="20"/>
        </w:rPr>
        <w:t xml:space="preserve">znese pri povprečni za 2024 v višini 725 evrov </w:t>
      </w:r>
      <w:r w:rsidR="00D5491B" w:rsidRPr="004A448A">
        <w:rPr>
          <w:rFonts w:ascii="Arial" w:hAnsi="Arial" w:cs="Arial"/>
          <w:b/>
          <w:bCs/>
          <w:sz w:val="20"/>
          <w:szCs w:val="20"/>
        </w:rPr>
        <w:t>cca 10</w:t>
      </w:r>
      <w:r w:rsidR="003327B6">
        <w:rPr>
          <w:rFonts w:ascii="Arial" w:hAnsi="Arial" w:cs="Arial"/>
          <w:b/>
          <w:bCs/>
          <w:sz w:val="20"/>
          <w:szCs w:val="20"/>
        </w:rPr>
        <w:t>, 3</w:t>
      </w:r>
      <w:r w:rsidR="00D5491B" w:rsidRPr="004A448A">
        <w:rPr>
          <w:rFonts w:ascii="Arial" w:hAnsi="Arial" w:cs="Arial"/>
          <w:b/>
          <w:bCs/>
          <w:sz w:val="20"/>
          <w:szCs w:val="20"/>
        </w:rPr>
        <w:t xml:space="preserve"> mio EUR</w:t>
      </w:r>
      <w:r w:rsidR="003327B6">
        <w:rPr>
          <w:rFonts w:ascii="Arial" w:hAnsi="Arial" w:cs="Arial"/>
          <w:b/>
          <w:bCs/>
          <w:sz w:val="20"/>
          <w:szCs w:val="20"/>
        </w:rPr>
        <w:t xml:space="preserve"> </w:t>
      </w:r>
      <w:r w:rsidR="0040762B" w:rsidRPr="004A448A">
        <w:rPr>
          <w:rFonts w:ascii="Arial" w:hAnsi="Arial" w:cs="Arial"/>
          <w:b/>
          <w:bCs/>
          <w:sz w:val="20"/>
          <w:szCs w:val="20"/>
        </w:rPr>
        <w:t>)</w:t>
      </w:r>
    </w:p>
    <w:bookmarkEnd w:id="0"/>
    <w:p w14:paraId="6C017EB0" w14:textId="77777777" w:rsidR="0052346C" w:rsidRPr="004A448A" w:rsidRDefault="0052346C" w:rsidP="00D5491B">
      <w:pPr>
        <w:jc w:val="both"/>
        <w:rPr>
          <w:rFonts w:cs="Arial"/>
          <w:b/>
          <w:bCs/>
          <w:szCs w:val="20"/>
          <w:lang w:val="sl-SI"/>
        </w:rPr>
      </w:pPr>
    </w:p>
    <w:tbl>
      <w:tblPr>
        <w:tblW w:w="0" w:type="auto"/>
        <w:tblLook w:val="04A0" w:firstRow="1" w:lastRow="0" w:firstColumn="1" w:lastColumn="0" w:noHBand="0" w:noVBand="1"/>
      </w:tblPr>
      <w:tblGrid>
        <w:gridCol w:w="8498"/>
      </w:tblGrid>
      <w:tr w:rsidR="00D4118A" w:rsidRPr="006E748E" w14:paraId="2533FE8B" w14:textId="77777777" w:rsidTr="00B30F31">
        <w:tc>
          <w:tcPr>
            <w:tcW w:w="8498" w:type="dxa"/>
          </w:tcPr>
          <w:p w14:paraId="723EC9BE" w14:textId="77777777" w:rsidR="000759EF" w:rsidRPr="006E748E" w:rsidRDefault="000759EF">
            <w:pPr>
              <w:rPr>
                <w:rFonts w:cs="Arial"/>
                <w:szCs w:val="20"/>
                <w:lang w:val="sl-SI"/>
              </w:rPr>
            </w:pPr>
          </w:p>
          <w:tbl>
            <w:tblPr>
              <w:tblW w:w="0" w:type="auto"/>
              <w:tblLook w:val="04A0" w:firstRow="1" w:lastRow="0" w:firstColumn="1" w:lastColumn="0" w:noHBand="0" w:noVBand="1"/>
            </w:tblPr>
            <w:tblGrid>
              <w:gridCol w:w="8282"/>
            </w:tblGrid>
            <w:tr w:rsidR="00D4118A" w:rsidRPr="006E748E" w14:paraId="24AFE49E" w14:textId="77777777" w:rsidTr="00D4118A">
              <w:tc>
                <w:tcPr>
                  <w:tcW w:w="8282" w:type="dxa"/>
                </w:tcPr>
                <w:p w14:paraId="2ECCA204" w14:textId="77777777" w:rsidR="00D4118A" w:rsidRPr="004A448A" w:rsidRDefault="00D4118A" w:rsidP="00B30F31">
                  <w:pPr>
                    <w:suppressAutoHyphens/>
                    <w:overflowPunct w:val="0"/>
                    <w:autoSpaceDE w:val="0"/>
                    <w:autoSpaceDN w:val="0"/>
                    <w:adjustRightInd w:val="0"/>
                    <w:textAlignment w:val="baseline"/>
                    <w:outlineLvl w:val="3"/>
                    <w:rPr>
                      <w:rFonts w:cs="Arial"/>
                      <w:b/>
                      <w:szCs w:val="20"/>
                      <w:lang w:val="sl-SI" w:eastAsia="sl-SI"/>
                    </w:rPr>
                  </w:pPr>
                  <w:bookmarkStart w:id="1" w:name="_Hlk71199241"/>
                  <w:r w:rsidRPr="004A448A">
                    <w:rPr>
                      <w:rFonts w:cs="Arial"/>
                      <w:b/>
                      <w:szCs w:val="20"/>
                      <w:lang w:val="sl-SI" w:eastAsia="sl-SI"/>
                    </w:rPr>
                    <w:t>II. BESEDILO ČLENOV</w:t>
                  </w:r>
                </w:p>
                <w:p w14:paraId="7B703DC7" w14:textId="77777777" w:rsidR="00D4118A" w:rsidRPr="004A448A" w:rsidRDefault="00D4118A" w:rsidP="00B30F31">
                  <w:pPr>
                    <w:suppressAutoHyphens/>
                    <w:overflowPunct w:val="0"/>
                    <w:autoSpaceDE w:val="0"/>
                    <w:autoSpaceDN w:val="0"/>
                    <w:adjustRightInd w:val="0"/>
                    <w:textAlignment w:val="baseline"/>
                    <w:outlineLvl w:val="3"/>
                    <w:rPr>
                      <w:rFonts w:cs="Arial"/>
                      <w:b/>
                      <w:szCs w:val="20"/>
                      <w:lang w:val="sl-SI" w:eastAsia="sl-SI"/>
                    </w:rPr>
                  </w:pPr>
                </w:p>
                <w:p w14:paraId="1BFF02B1" w14:textId="77777777" w:rsidR="00D4118A" w:rsidRPr="004A448A" w:rsidRDefault="00D4118A" w:rsidP="00B30F31">
                  <w:pPr>
                    <w:suppressAutoHyphens/>
                    <w:overflowPunct w:val="0"/>
                    <w:autoSpaceDE w:val="0"/>
                    <w:autoSpaceDN w:val="0"/>
                    <w:adjustRightInd w:val="0"/>
                    <w:jc w:val="center"/>
                    <w:textAlignment w:val="baseline"/>
                    <w:outlineLvl w:val="3"/>
                    <w:rPr>
                      <w:rFonts w:cs="Arial"/>
                      <w:bCs/>
                      <w:szCs w:val="20"/>
                      <w:lang w:val="sl-SI" w:eastAsia="sl-SI"/>
                    </w:rPr>
                  </w:pPr>
                  <w:r w:rsidRPr="004A448A">
                    <w:rPr>
                      <w:rFonts w:cs="Arial"/>
                      <w:bCs/>
                      <w:szCs w:val="20"/>
                      <w:lang w:val="sl-SI" w:eastAsia="sl-SI"/>
                    </w:rPr>
                    <w:t>1. člen</w:t>
                  </w:r>
                </w:p>
                <w:p w14:paraId="2116FC78" w14:textId="77777777" w:rsidR="00D4118A" w:rsidRPr="004A448A" w:rsidRDefault="00D4118A" w:rsidP="00B30F31">
                  <w:pPr>
                    <w:suppressAutoHyphens/>
                    <w:overflowPunct w:val="0"/>
                    <w:autoSpaceDE w:val="0"/>
                    <w:autoSpaceDN w:val="0"/>
                    <w:adjustRightInd w:val="0"/>
                    <w:textAlignment w:val="baseline"/>
                    <w:outlineLvl w:val="3"/>
                    <w:rPr>
                      <w:rFonts w:cs="Arial"/>
                      <w:b/>
                      <w:szCs w:val="20"/>
                      <w:lang w:val="sl-SI" w:eastAsia="sl-SI"/>
                    </w:rPr>
                  </w:pPr>
                </w:p>
                <w:p w14:paraId="09E05BF7" w14:textId="755F7265" w:rsidR="00D4118A" w:rsidRPr="004A448A" w:rsidRDefault="00D4118A" w:rsidP="00B30F31">
                  <w:pPr>
                    <w:spacing w:line="240" w:lineRule="auto"/>
                    <w:jc w:val="both"/>
                    <w:rPr>
                      <w:rFonts w:cs="Arial"/>
                      <w:szCs w:val="20"/>
                      <w:lang w:val="sl-SI" w:eastAsia="sl-SI"/>
                    </w:rPr>
                  </w:pPr>
                  <w:bookmarkStart w:id="2" w:name="_Hlk56159215"/>
                  <w:r w:rsidRPr="004A448A">
                    <w:rPr>
                      <w:rFonts w:cs="Arial"/>
                      <w:szCs w:val="20"/>
                      <w:lang w:val="sl-SI" w:eastAsia="sl-SI"/>
                    </w:rPr>
                    <w:t xml:space="preserve">V Zakonu o financiranju občin (Uradni list RS, št. 123/06, 57/08, 36/11, 14/15 – ZUUJFO, 71/17, 21/18 – </w:t>
                  </w:r>
                  <w:proofErr w:type="spellStart"/>
                  <w:r w:rsidRPr="004A448A">
                    <w:rPr>
                      <w:rFonts w:cs="Arial"/>
                      <w:szCs w:val="20"/>
                      <w:lang w:val="sl-SI" w:eastAsia="sl-SI"/>
                    </w:rPr>
                    <w:t>popr</w:t>
                  </w:r>
                  <w:proofErr w:type="spellEnd"/>
                  <w:r w:rsidRPr="004A448A">
                    <w:rPr>
                      <w:rFonts w:cs="Arial"/>
                      <w:szCs w:val="20"/>
                      <w:lang w:val="sl-SI" w:eastAsia="sl-SI"/>
                    </w:rPr>
                    <w:t xml:space="preserve">., 80/20 – ZIUOOPE, 189/20 – ZFRO, 207/21 in 44/22 – ZVO-2) se v </w:t>
                  </w:r>
                  <w:proofErr w:type="spellStart"/>
                  <w:r w:rsidRPr="004A448A">
                    <w:rPr>
                      <w:rFonts w:cs="Arial"/>
                      <w:szCs w:val="20"/>
                      <w:lang w:val="sl-SI" w:eastAsia="sl-SI"/>
                    </w:rPr>
                    <w:t>10.a</w:t>
                  </w:r>
                  <w:proofErr w:type="spellEnd"/>
                  <w:r w:rsidRPr="004A448A">
                    <w:rPr>
                      <w:rFonts w:cs="Arial"/>
                      <w:szCs w:val="20"/>
                      <w:lang w:val="sl-SI" w:eastAsia="sl-SI"/>
                    </w:rPr>
                    <w:t xml:space="preserve"> členu v prvem odstavku v prvem stavku pika nadomesti z vejico in doda besedilo »mednarodnih institucijah, katerih članica je Republike Slovenija, ter z izdajo občinskih obveznic</w:t>
                  </w:r>
                  <w:r w:rsidR="00EB0D57">
                    <w:rPr>
                      <w:rFonts w:cs="Arial"/>
                      <w:szCs w:val="20"/>
                      <w:lang w:val="sl-SI" w:eastAsia="sl-SI"/>
                    </w:rPr>
                    <w:t xml:space="preserve"> na nacionalnem trgu</w:t>
                  </w:r>
                  <w:r w:rsidRPr="004A448A">
                    <w:rPr>
                      <w:rFonts w:cs="Arial"/>
                      <w:szCs w:val="20"/>
                      <w:lang w:val="sl-SI" w:eastAsia="sl-SI"/>
                    </w:rPr>
                    <w:t>.«</w:t>
                  </w:r>
                </w:p>
                <w:p w14:paraId="7F34DA6F" w14:textId="77777777" w:rsidR="00D4118A" w:rsidRPr="004A448A" w:rsidRDefault="00D4118A" w:rsidP="00B30F31">
                  <w:pPr>
                    <w:spacing w:line="240" w:lineRule="auto"/>
                    <w:jc w:val="both"/>
                    <w:rPr>
                      <w:rFonts w:cs="Arial"/>
                      <w:szCs w:val="20"/>
                      <w:lang w:val="sl-SI" w:eastAsia="sl-SI"/>
                    </w:rPr>
                  </w:pPr>
                </w:p>
                <w:p w14:paraId="29ACCE02" w14:textId="77777777" w:rsidR="00D4118A" w:rsidRPr="004A448A" w:rsidRDefault="00D4118A" w:rsidP="00B30F31">
                  <w:pPr>
                    <w:spacing w:line="240" w:lineRule="auto"/>
                    <w:jc w:val="both"/>
                    <w:rPr>
                      <w:rFonts w:cs="Arial"/>
                      <w:szCs w:val="20"/>
                      <w:lang w:val="sl-SI" w:eastAsia="sl-SI"/>
                    </w:rPr>
                  </w:pPr>
                  <w:r w:rsidRPr="004A448A">
                    <w:rPr>
                      <w:rFonts w:cs="Arial"/>
                      <w:szCs w:val="20"/>
                      <w:lang w:val="sl-SI" w:eastAsia="sl-SI"/>
                    </w:rPr>
                    <w:t>V šestem odstavku se v prvem stavku črta beseda »posojila«.</w:t>
                  </w:r>
                </w:p>
                <w:p w14:paraId="6567FBF7" w14:textId="59BA484C" w:rsidR="00D4118A" w:rsidRPr="004A448A" w:rsidRDefault="00D4118A" w:rsidP="00B30F31">
                  <w:pPr>
                    <w:spacing w:line="240" w:lineRule="auto"/>
                    <w:jc w:val="both"/>
                    <w:rPr>
                      <w:rFonts w:cs="Arial"/>
                      <w:szCs w:val="20"/>
                      <w:lang w:val="sl-SI" w:eastAsia="sl-SI"/>
                    </w:rPr>
                  </w:pPr>
                </w:p>
                <w:p w14:paraId="7724C9F5" w14:textId="77777777" w:rsidR="007C21DF" w:rsidRPr="004A448A" w:rsidRDefault="007C21DF" w:rsidP="007C21DF">
                  <w:pPr>
                    <w:rPr>
                      <w:rFonts w:cs="Arial"/>
                      <w:szCs w:val="20"/>
                      <w:lang w:val="sl-SI"/>
                    </w:rPr>
                  </w:pPr>
                  <w:r w:rsidRPr="004A448A">
                    <w:rPr>
                      <w:rFonts w:cs="Arial"/>
                      <w:szCs w:val="20"/>
                      <w:lang w:val="sl-SI"/>
                    </w:rPr>
                    <w:t>Za šestim odstavkom se doda nov sedmi odstavek, ki se glasi:</w:t>
                  </w:r>
                </w:p>
                <w:p w14:paraId="7A9E8DBD" w14:textId="1AE06574" w:rsidR="007C21DF" w:rsidRPr="004A448A" w:rsidRDefault="007C21DF" w:rsidP="007C21DF">
                  <w:pPr>
                    <w:rPr>
                      <w:rFonts w:cs="Arial"/>
                      <w:szCs w:val="20"/>
                      <w:lang w:val="sl-SI"/>
                    </w:rPr>
                  </w:pPr>
                  <w:r w:rsidRPr="004A448A">
                    <w:rPr>
                      <w:rFonts w:cs="Arial"/>
                      <w:szCs w:val="20"/>
                      <w:lang w:val="sl-SI"/>
                    </w:rPr>
                    <w:t>»(7) Način in postop</w:t>
                  </w:r>
                  <w:r w:rsidR="009421EC" w:rsidRPr="004A448A">
                    <w:rPr>
                      <w:rFonts w:cs="Arial"/>
                      <w:szCs w:val="20"/>
                      <w:lang w:val="sl-SI"/>
                    </w:rPr>
                    <w:t>e</w:t>
                  </w:r>
                  <w:r w:rsidRPr="004A448A">
                    <w:rPr>
                      <w:rFonts w:cs="Arial"/>
                      <w:szCs w:val="20"/>
                      <w:lang w:val="sl-SI"/>
                    </w:rPr>
                    <w:t>k za izdajo občinskih obveznic</w:t>
                  </w:r>
                  <w:r w:rsidR="00EB0D57">
                    <w:rPr>
                      <w:rFonts w:cs="Arial"/>
                      <w:szCs w:val="20"/>
                      <w:lang w:val="sl-SI"/>
                    </w:rPr>
                    <w:t>, ki se opravi na nacionalnem trgu,</w:t>
                  </w:r>
                  <w:r w:rsidRPr="004A448A">
                    <w:rPr>
                      <w:rFonts w:cs="Arial"/>
                      <w:szCs w:val="20"/>
                      <w:lang w:val="sl-SI"/>
                    </w:rPr>
                    <w:t xml:space="preserve"> predpiše minister, pristojen za finance.«.</w:t>
                  </w:r>
                </w:p>
                <w:p w14:paraId="32192675" w14:textId="561D12AA" w:rsidR="009F1A52" w:rsidRPr="004A448A" w:rsidRDefault="009F1A52" w:rsidP="007C21DF">
                  <w:pPr>
                    <w:rPr>
                      <w:rFonts w:cs="Arial"/>
                      <w:szCs w:val="20"/>
                      <w:lang w:val="sl-SI"/>
                    </w:rPr>
                  </w:pPr>
                </w:p>
                <w:p w14:paraId="613A1961" w14:textId="77777777" w:rsidR="00D4118A" w:rsidRPr="004A448A" w:rsidRDefault="00D4118A" w:rsidP="00B30F31">
                  <w:pPr>
                    <w:spacing w:line="240" w:lineRule="auto"/>
                    <w:jc w:val="center"/>
                    <w:rPr>
                      <w:rFonts w:cs="Arial"/>
                      <w:szCs w:val="20"/>
                      <w:lang w:val="sl-SI" w:eastAsia="sl-SI"/>
                    </w:rPr>
                  </w:pPr>
                  <w:r w:rsidRPr="004A448A">
                    <w:rPr>
                      <w:rFonts w:cs="Arial"/>
                      <w:szCs w:val="20"/>
                      <w:lang w:val="sl-SI" w:eastAsia="sl-SI"/>
                    </w:rPr>
                    <w:t>2. člen</w:t>
                  </w:r>
                </w:p>
                <w:p w14:paraId="0CEC989A" w14:textId="77777777" w:rsidR="00D4118A" w:rsidRPr="004A448A" w:rsidRDefault="00D4118A" w:rsidP="00B30F31">
                  <w:pPr>
                    <w:spacing w:line="240" w:lineRule="auto"/>
                    <w:jc w:val="both"/>
                    <w:rPr>
                      <w:rFonts w:cs="Arial"/>
                      <w:szCs w:val="20"/>
                      <w:lang w:val="sl-SI" w:eastAsia="sl-SI"/>
                    </w:rPr>
                  </w:pPr>
                </w:p>
                <w:p w14:paraId="6BA6F0CF" w14:textId="77777777" w:rsidR="00D4118A" w:rsidRPr="004A448A" w:rsidRDefault="00D4118A" w:rsidP="00B30F31">
                  <w:pPr>
                    <w:spacing w:line="240" w:lineRule="auto"/>
                    <w:jc w:val="both"/>
                    <w:rPr>
                      <w:rFonts w:cs="Arial"/>
                      <w:szCs w:val="20"/>
                      <w:lang w:val="sl-SI" w:eastAsia="sl-SI"/>
                    </w:rPr>
                  </w:pPr>
                  <w:r w:rsidRPr="004A448A">
                    <w:rPr>
                      <w:rFonts w:cs="Arial"/>
                      <w:szCs w:val="20"/>
                      <w:lang w:val="sl-SI" w:eastAsia="sl-SI"/>
                    </w:rPr>
                    <w:t>V 10. b členu se drugi odstavek spremeni tako, da se glasi:</w:t>
                  </w:r>
                </w:p>
                <w:p w14:paraId="7E711D1F" w14:textId="16825CE7" w:rsidR="00D4118A" w:rsidRPr="004A448A" w:rsidRDefault="00D4118A" w:rsidP="00B30F31">
                  <w:pPr>
                    <w:spacing w:line="240" w:lineRule="auto"/>
                    <w:jc w:val="both"/>
                    <w:rPr>
                      <w:rFonts w:cs="Arial"/>
                      <w:szCs w:val="20"/>
                      <w:lang w:val="sl-SI" w:eastAsia="sl-SI"/>
                    </w:rPr>
                  </w:pPr>
                  <w:r w:rsidRPr="004A448A">
                    <w:rPr>
                      <w:rFonts w:cs="Arial"/>
                      <w:szCs w:val="20"/>
                      <w:lang w:val="sl-SI" w:eastAsia="sl-SI"/>
                    </w:rPr>
                    <w:t>»(2) Občina se v tekočem proračunskem letu lahko zadolži, če odplačilo obveznosti iz naslova posojil in izdanih občinskih obveznic</w:t>
                  </w:r>
                  <w:r w:rsidR="00C2646B" w:rsidRPr="004A448A">
                    <w:rPr>
                      <w:rFonts w:cs="Arial"/>
                      <w:szCs w:val="20"/>
                      <w:lang w:val="sl-SI" w:eastAsia="sl-SI"/>
                    </w:rPr>
                    <w:t xml:space="preserve"> (glavnice in obresti)</w:t>
                  </w:r>
                  <w:r w:rsidRPr="004A448A">
                    <w:rPr>
                      <w:rFonts w:cs="Arial"/>
                      <w:szCs w:val="20"/>
                      <w:lang w:val="sl-SI" w:eastAsia="sl-SI"/>
                    </w:rPr>
                    <w:t>, finančnih najemov in potencialnih obveznosti iz naslova izdanih poroštev za izpolnitev obveznosti posrednih proračunskih uporabnikov in javnih podjetij, katerih ustanoviteljica je občina, v posameznem letu odplačila ne preseže 15 % realiziranih prihodkov iz bilance prihodkov in odhodkov občinskega proračuna v letu pred letom zadolževanja, zmanjšanih za prejete donacije, transferne prihodke iz državnega proračuna za investicije in prejeta sredstva iz proračuna Evropske unije ter prihodke režijskih obratov.«</w:t>
                  </w:r>
                </w:p>
                <w:p w14:paraId="1A417FA0" w14:textId="37A1F4F1" w:rsidR="009F1A52" w:rsidRPr="004A448A" w:rsidRDefault="009F1A52" w:rsidP="00B30F31">
                  <w:pPr>
                    <w:spacing w:line="240" w:lineRule="auto"/>
                    <w:jc w:val="both"/>
                    <w:rPr>
                      <w:rFonts w:cs="Arial"/>
                      <w:szCs w:val="20"/>
                      <w:lang w:val="sl-SI" w:eastAsia="sl-SI"/>
                    </w:rPr>
                  </w:pPr>
                </w:p>
                <w:p w14:paraId="4475D030" w14:textId="02820C63" w:rsidR="005D043C" w:rsidRPr="004A448A" w:rsidRDefault="005D043C" w:rsidP="006D3F55">
                  <w:pPr>
                    <w:jc w:val="both"/>
                    <w:rPr>
                      <w:rFonts w:cs="Arial"/>
                      <w:szCs w:val="20"/>
                      <w:lang w:val="sl-SI"/>
                    </w:rPr>
                  </w:pPr>
                  <w:r w:rsidRPr="004A448A">
                    <w:rPr>
                      <w:rFonts w:cs="Arial"/>
                      <w:szCs w:val="20"/>
                      <w:lang w:val="sl-SI"/>
                    </w:rPr>
                    <w:t>Za drugim odstavkom se dodajo novi, tretji, četrti</w:t>
                  </w:r>
                  <w:r w:rsidR="004305B7" w:rsidRPr="004A448A">
                    <w:rPr>
                      <w:rFonts w:cs="Arial"/>
                      <w:szCs w:val="20"/>
                      <w:lang w:val="sl-SI"/>
                    </w:rPr>
                    <w:t>,</w:t>
                  </w:r>
                  <w:r w:rsidRPr="004A448A">
                    <w:rPr>
                      <w:rFonts w:cs="Arial"/>
                      <w:szCs w:val="20"/>
                      <w:lang w:val="sl-SI"/>
                    </w:rPr>
                    <w:t xml:space="preserve"> peti </w:t>
                  </w:r>
                  <w:r w:rsidR="004305B7" w:rsidRPr="004A448A">
                    <w:rPr>
                      <w:rFonts w:cs="Arial"/>
                      <w:szCs w:val="20"/>
                      <w:lang w:val="sl-SI"/>
                    </w:rPr>
                    <w:t xml:space="preserve">in šesti </w:t>
                  </w:r>
                  <w:r w:rsidRPr="004A448A">
                    <w:rPr>
                      <w:rFonts w:cs="Arial"/>
                      <w:szCs w:val="20"/>
                      <w:lang w:val="sl-SI"/>
                    </w:rPr>
                    <w:t>odstavek, ki se glasijo:</w:t>
                  </w:r>
                </w:p>
                <w:p w14:paraId="685A7B6F" w14:textId="7B6BECF9" w:rsidR="004305B7" w:rsidRPr="004A448A" w:rsidRDefault="005D043C" w:rsidP="006D3F55">
                  <w:pPr>
                    <w:jc w:val="both"/>
                    <w:rPr>
                      <w:rFonts w:cs="Arial"/>
                      <w:szCs w:val="20"/>
                      <w:lang w:val="sl-SI"/>
                    </w:rPr>
                  </w:pPr>
                  <w:r w:rsidRPr="004A448A">
                    <w:rPr>
                      <w:rFonts w:cs="Arial"/>
                      <w:szCs w:val="20"/>
                      <w:lang w:val="sl-SI"/>
                    </w:rPr>
                    <w:t>»(3) Če ministrstvo, pristojno za finance ugotovi</w:t>
                  </w:r>
                  <w:r w:rsidR="006D3F55" w:rsidRPr="004A448A">
                    <w:rPr>
                      <w:rFonts w:cs="Arial"/>
                      <w:szCs w:val="20"/>
                      <w:lang w:val="sl-SI"/>
                    </w:rPr>
                    <w:t xml:space="preserve">, da je občina </w:t>
                  </w:r>
                  <w:r w:rsidRPr="004A448A">
                    <w:rPr>
                      <w:rFonts w:cs="Arial"/>
                      <w:szCs w:val="20"/>
                      <w:lang w:val="sl-SI"/>
                    </w:rPr>
                    <w:t>trajn</w:t>
                  </w:r>
                  <w:r w:rsidR="00B32FD8" w:rsidRPr="004A448A">
                    <w:rPr>
                      <w:rFonts w:cs="Arial"/>
                      <w:szCs w:val="20"/>
                      <w:lang w:val="sl-SI"/>
                    </w:rPr>
                    <w:t>eje</w:t>
                  </w:r>
                  <w:r w:rsidRPr="004A448A">
                    <w:rPr>
                      <w:rFonts w:cs="Arial"/>
                      <w:szCs w:val="20"/>
                      <w:lang w:val="sl-SI"/>
                    </w:rPr>
                    <w:t xml:space="preserve"> nelikvidna ali </w:t>
                  </w:r>
                  <w:r w:rsidR="00103A4A" w:rsidRPr="004A448A">
                    <w:rPr>
                      <w:rFonts w:cs="Arial"/>
                      <w:szCs w:val="20"/>
                      <w:lang w:val="sl-SI"/>
                    </w:rPr>
                    <w:t>dolgotrajno plačilno nesposobna</w:t>
                  </w:r>
                  <w:r w:rsidR="006D3F55" w:rsidRPr="004A448A">
                    <w:rPr>
                      <w:rFonts w:cs="Arial"/>
                      <w:szCs w:val="20"/>
                      <w:lang w:val="sl-SI"/>
                    </w:rPr>
                    <w:t xml:space="preserve">, </w:t>
                  </w:r>
                  <w:r w:rsidR="004305B7" w:rsidRPr="004A448A">
                    <w:rPr>
                      <w:rFonts w:cs="Arial"/>
                      <w:szCs w:val="20"/>
                      <w:lang w:val="sl-SI"/>
                    </w:rPr>
                    <w:t xml:space="preserve">pozove župana k pripravi sanacijskega načrta. Če v določenem roku župan sanacijskega načrta ne izdela oziroma ga občinski svet na njegov </w:t>
                  </w:r>
                  <w:r w:rsidR="004305B7" w:rsidRPr="004A448A">
                    <w:rPr>
                      <w:rFonts w:cs="Arial"/>
                      <w:szCs w:val="20"/>
                      <w:lang w:val="sl-SI"/>
                    </w:rPr>
                    <w:lastRenderedPageBreak/>
                    <w:t>predlog ne sprejme, minister, pristojen za finance, imenuje sanacijski odbor.</w:t>
                  </w:r>
                </w:p>
                <w:p w14:paraId="5A4C2AEA" w14:textId="77777777" w:rsidR="004305B7" w:rsidRPr="004A448A" w:rsidRDefault="004305B7" w:rsidP="006D3F55">
                  <w:pPr>
                    <w:jc w:val="both"/>
                    <w:rPr>
                      <w:rFonts w:cs="Arial"/>
                      <w:szCs w:val="20"/>
                      <w:lang w:val="sl-SI"/>
                    </w:rPr>
                  </w:pPr>
                </w:p>
                <w:p w14:paraId="4F07AD09" w14:textId="1EB2AE0B" w:rsidR="005D043C" w:rsidRPr="004A448A" w:rsidRDefault="004305B7" w:rsidP="006D3F55">
                  <w:pPr>
                    <w:jc w:val="both"/>
                    <w:rPr>
                      <w:rFonts w:cs="Arial"/>
                      <w:szCs w:val="20"/>
                      <w:lang w:val="sl-SI"/>
                    </w:rPr>
                  </w:pPr>
                  <w:r w:rsidRPr="004A448A">
                    <w:rPr>
                      <w:rFonts w:cs="Arial"/>
                      <w:szCs w:val="20"/>
                      <w:lang w:val="sl-SI"/>
                    </w:rPr>
                    <w:t xml:space="preserve">(4) </w:t>
                  </w:r>
                  <w:r w:rsidR="005D043C" w:rsidRPr="004A448A">
                    <w:rPr>
                      <w:rFonts w:cs="Arial"/>
                      <w:szCs w:val="20"/>
                      <w:lang w:val="sl-SI"/>
                    </w:rPr>
                    <w:t>Trajn</w:t>
                  </w:r>
                  <w:r w:rsidR="00B32FD8" w:rsidRPr="004A448A">
                    <w:rPr>
                      <w:rFonts w:cs="Arial"/>
                      <w:szCs w:val="20"/>
                      <w:lang w:val="sl-SI"/>
                    </w:rPr>
                    <w:t>ejša</w:t>
                  </w:r>
                  <w:r w:rsidR="005D043C" w:rsidRPr="004A448A">
                    <w:rPr>
                      <w:rFonts w:cs="Arial"/>
                      <w:szCs w:val="20"/>
                      <w:lang w:val="sl-SI"/>
                    </w:rPr>
                    <w:t xml:space="preserve"> </w:t>
                  </w:r>
                  <w:r w:rsidR="006D3F55" w:rsidRPr="004A448A">
                    <w:rPr>
                      <w:rFonts w:cs="Arial"/>
                      <w:szCs w:val="20"/>
                      <w:lang w:val="sl-SI"/>
                    </w:rPr>
                    <w:t>nelikvidnost</w:t>
                  </w:r>
                  <w:r w:rsidR="005D043C" w:rsidRPr="004A448A">
                    <w:rPr>
                      <w:rFonts w:cs="Arial"/>
                      <w:szCs w:val="20"/>
                      <w:lang w:val="sl-SI"/>
                    </w:rPr>
                    <w:t xml:space="preserve"> nastopi, ko sredstva na računih občine ne zadoščajo za izvršitev sklepa o izvršbi ali poplačilo </w:t>
                  </w:r>
                  <w:proofErr w:type="spellStart"/>
                  <w:r w:rsidR="005D043C" w:rsidRPr="004A448A">
                    <w:rPr>
                      <w:rFonts w:cs="Arial"/>
                      <w:szCs w:val="20"/>
                      <w:lang w:val="sl-SI"/>
                    </w:rPr>
                    <w:t>izvršnice</w:t>
                  </w:r>
                  <w:proofErr w:type="spellEnd"/>
                  <w:r w:rsidR="005D043C" w:rsidRPr="004A448A">
                    <w:rPr>
                      <w:rFonts w:cs="Arial"/>
                      <w:szCs w:val="20"/>
                      <w:lang w:val="sl-SI"/>
                    </w:rPr>
                    <w:t xml:space="preserve"> in tako stanje traja neprekinjeno zadnjih 90 dni. </w:t>
                  </w:r>
                  <w:r w:rsidR="00A34E0C" w:rsidRPr="004A448A">
                    <w:rPr>
                      <w:rFonts w:cs="Arial"/>
                      <w:szCs w:val="20"/>
                      <w:lang w:val="sl-SI"/>
                    </w:rPr>
                    <w:t>Občina je p</w:t>
                  </w:r>
                  <w:r w:rsidR="005D043C" w:rsidRPr="004A448A">
                    <w:rPr>
                      <w:rFonts w:cs="Arial"/>
                      <w:szCs w:val="20"/>
                      <w:lang w:val="sl-SI"/>
                    </w:rPr>
                    <w:t>lačiln</w:t>
                  </w:r>
                  <w:r w:rsidR="00A34E0C" w:rsidRPr="004A448A">
                    <w:rPr>
                      <w:rFonts w:cs="Arial"/>
                      <w:szCs w:val="20"/>
                      <w:lang w:val="sl-SI"/>
                    </w:rPr>
                    <w:t>o</w:t>
                  </w:r>
                  <w:r w:rsidR="005D043C" w:rsidRPr="004A448A">
                    <w:rPr>
                      <w:rFonts w:cs="Arial"/>
                      <w:szCs w:val="20"/>
                      <w:lang w:val="sl-SI"/>
                    </w:rPr>
                    <w:t xml:space="preserve"> nesposobna če je prezadolžena</w:t>
                  </w:r>
                  <w:r w:rsidR="00A34E0C" w:rsidRPr="004A448A">
                    <w:rPr>
                      <w:rFonts w:cs="Arial"/>
                      <w:szCs w:val="20"/>
                      <w:lang w:val="sl-SI"/>
                    </w:rPr>
                    <w:t xml:space="preserve">, </w:t>
                  </w:r>
                  <w:r w:rsidR="005D043C" w:rsidRPr="004A448A">
                    <w:rPr>
                      <w:rFonts w:cs="Arial"/>
                      <w:szCs w:val="20"/>
                      <w:lang w:val="sl-SI"/>
                    </w:rPr>
                    <w:t xml:space="preserve">preseže največji obseg možnega zadolževanja iz </w:t>
                  </w:r>
                  <w:proofErr w:type="spellStart"/>
                  <w:r w:rsidR="005D043C" w:rsidRPr="004A448A">
                    <w:rPr>
                      <w:rFonts w:cs="Arial"/>
                      <w:szCs w:val="20"/>
                      <w:lang w:val="sl-SI"/>
                    </w:rPr>
                    <w:t>10.b</w:t>
                  </w:r>
                  <w:proofErr w:type="spellEnd"/>
                  <w:r w:rsidR="005D043C" w:rsidRPr="004A448A">
                    <w:rPr>
                      <w:rFonts w:cs="Arial"/>
                      <w:szCs w:val="20"/>
                      <w:lang w:val="sl-SI"/>
                    </w:rPr>
                    <w:t xml:space="preserve"> člena ZFO-1 in preseže</w:t>
                  </w:r>
                  <w:r w:rsidR="006D3F55" w:rsidRPr="004A448A">
                    <w:rPr>
                      <w:rFonts w:cs="Arial"/>
                      <w:szCs w:val="20"/>
                      <w:lang w:val="sl-SI"/>
                    </w:rPr>
                    <w:t xml:space="preserve"> </w:t>
                  </w:r>
                  <w:r w:rsidR="00B32FD8" w:rsidRPr="004A448A">
                    <w:rPr>
                      <w:rFonts w:cs="Arial"/>
                      <w:szCs w:val="20"/>
                      <w:lang w:val="sl-SI"/>
                    </w:rPr>
                    <w:t xml:space="preserve">2 </w:t>
                  </w:r>
                  <w:r w:rsidR="005D043C" w:rsidRPr="004A448A">
                    <w:rPr>
                      <w:rFonts w:cs="Arial"/>
                      <w:szCs w:val="20"/>
                      <w:lang w:val="sl-SI"/>
                    </w:rPr>
                    <w:t>% realiziranih prihodkov iz bilance prihodkov in odhodkov občinskega proračuna v letu pred letom zadolževanja, zmanjšanih za prejete donacije, transferne prihodke iz državnega proračuna za investicije in prejeta sredstva iz proračuna Evropske unije ter prihodke režijskih obratov.</w:t>
                  </w:r>
                </w:p>
                <w:p w14:paraId="59053B17" w14:textId="77777777" w:rsidR="00A34E0C" w:rsidRPr="004A448A" w:rsidRDefault="00A34E0C" w:rsidP="006D3F55">
                  <w:pPr>
                    <w:jc w:val="both"/>
                    <w:rPr>
                      <w:rFonts w:cs="Arial"/>
                      <w:szCs w:val="20"/>
                      <w:lang w:val="sl-SI"/>
                    </w:rPr>
                  </w:pPr>
                </w:p>
                <w:p w14:paraId="55718102" w14:textId="01D4BA8C" w:rsidR="005D043C" w:rsidRPr="004A448A" w:rsidRDefault="005D043C" w:rsidP="006D3F55">
                  <w:pPr>
                    <w:jc w:val="both"/>
                    <w:rPr>
                      <w:rFonts w:cs="Arial"/>
                      <w:szCs w:val="20"/>
                      <w:lang w:val="sl-SI"/>
                    </w:rPr>
                  </w:pPr>
                  <w:r w:rsidRPr="004A448A">
                    <w:rPr>
                      <w:rFonts w:cs="Arial"/>
                      <w:szCs w:val="20"/>
                      <w:lang w:val="sl-SI"/>
                    </w:rPr>
                    <w:t>(</w:t>
                  </w:r>
                  <w:r w:rsidR="004305B7" w:rsidRPr="004A448A">
                    <w:rPr>
                      <w:rFonts w:cs="Arial"/>
                      <w:szCs w:val="20"/>
                      <w:lang w:val="sl-SI"/>
                    </w:rPr>
                    <w:t>5</w:t>
                  </w:r>
                  <w:r w:rsidRPr="004A448A">
                    <w:rPr>
                      <w:rFonts w:cs="Arial"/>
                      <w:szCs w:val="20"/>
                      <w:lang w:val="sl-SI"/>
                    </w:rPr>
                    <w:t xml:space="preserve">) Sanacijski odbor iz </w:t>
                  </w:r>
                  <w:r w:rsidR="002B21FC" w:rsidRPr="004A448A">
                    <w:rPr>
                      <w:rFonts w:cs="Arial"/>
                      <w:szCs w:val="20"/>
                      <w:lang w:val="sl-SI"/>
                    </w:rPr>
                    <w:t>tretjega</w:t>
                  </w:r>
                  <w:r w:rsidRPr="004A448A">
                    <w:rPr>
                      <w:rFonts w:cs="Arial"/>
                      <w:szCs w:val="20"/>
                      <w:lang w:val="sl-SI"/>
                    </w:rPr>
                    <w:t xml:space="preserve"> odstavka </w:t>
                  </w:r>
                  <w:r w:rsidR="002B21FC" w:rsidRPr="004A448A">
                    <w:rPr>
                      <w:rFonts w:cs="Arial"/>
                      <w:szCs w:val="20"/>
                      <w:lang w:val="sl-SI"/>
                    </w:rPr>
                    <w:t xml:space="preserve">tega člena </w:t>
                  </w:r>
                  <w:r w:rsidRPr="004A448A">
                    <w:rPr>
                      <w:rFonts w:cs="Arial"/>
                      <w:szCs w:val="20"/>
                      <w:lang w:val="sl-SI"/>
                    </w:rPr>
                    <w:t>sestavlja</w:t>
                  </w:r>
                  <w:r w:rsidR="00B32FD8" w:rsidRPr="004A448A">
                    <w:rPr>
                      <w:rFonts w:cs="Arial"/>
                      <w:szCs w:val="20"/>
                      <w:lang w:val="sl-SI"/>
                    </w:rPr>
                    <w:t>jo</w:t>
                  </w:r>
                  <w:r w:rsidRPr="004A448A">
                    <w:rPr>
                      <w:rFonts w:cs="Arial"/>
                      <w:szCs w:val="20"/>
                      <w:lang w:val="sl-SI"/>
                    </w:rPr>
                    <w:t xml:space="preserve"> predstavnik ministrstva, pristojnega za finance, predstavnik ministrstva, pristojnega za lokalno samoupravo in </w:t>
                  </w:r>
                  <w:r w:rsidR="00B32FD8" w:rsidRPr="004A448A">
                    <w:rPr>
                      <w:rFonts w:cs="Arial"/>
                      <w:szCs w:val="20"/>
                      <w:lang w:val="sl-SI"/>
                    </w:rPr>
                    <w:t>dva</w:t>
                  </w:r>
                  <w:r w:rsidRPr="004A448A">
                    <w:rPr>
                      <w:rFonts w:cs="Arial"/>
                      <w:szCs w:val="20"/>
                      <w:lang w:val="sl-SI"/>
                    </w:rPr>
                    <w:t xml:space="preserve"> predstavnik</w:t>
                  </w:r>
                  <w:r w:rsidR="00B32FD8" w:rsidRPr="004A448A">
                    <w:rPr>
                      <w:rFonts w:cs="Arial"/>
                      <w:szCs w:val="20"/>
                      <w:lang w:val="sl-SI"/>
                    </w:rPr>
                    <w:t>a</w:t>
                  </w:r>
                  <w:r w:rsidRPr="004A448A">
                    <w:rPr>
                      <w:rFonts w:cs="Arial"/>
                      <w:szCs w:val="20"/>
                      <w:lang w:val="sl-SI"/>
                    </w:rPr>
                    <w:t xml:space="preserve"> občine.</w:t>
                  </w:r>
                  <w:r w:rsidR="006D3F55" w:rsidRPr="004A448A">
                    <w:rPr>
                      <w:rFonts w:cs="Arial"/>
                      <w:szCs w:val="20"/>
                      <w:lang w:val="sl-SI"/>
                    </w:rPr>
                    <w:t xml:space="preserve"> Sanacijski odbor vodi predstavnik ministrstva, pristojnega za finance. Sanacijski odbor v 60 dneh</w:t>
                  </w:r>
                  <w:r w:rsidR="002B21FC" w:rsidRPr="004A448A">
                    <w:rPr>
                      <w:rFonts w:cs="Arial"/>
                      <w:szCs w:val="20"/>
                      <w:lang w:val="sl-SI"/>
                    </w:rPr>
                    <w:t xml:space="preserve"> od imenovanja </w:t>
                  </w:r>
                  <w:r w:rsidR="006D3F55" w:rsidRPr="004A448A">
                    <w:rPr>
                      <w:rFonts w:cs="Arial"/>
                      <w:szCs w:val="20"/>
                      <w:lang w:val="sl-SI"/>
                    </w:rPr>
                    <w:t xml:space="preserve"> izdela sanacijski načrt in ga predloži županu.</w:t>
                  </w:r>
                </w:p>
                <w:p w14:paraId="225CB10E" w14:textId="77777777" w:rsidR="00A34E0C" w:rsidRPr="004A448A" w:rsidRDefault="00A34E0C" w:rsidP="006D3F55">
                  <w:pPr>
                    <w:jc w:val="both"/>
                    <w:rPr>
                      <w:rFonts w:cs="Arial"/>
                      <w:szCs w:val="20"/>
                      <w:lang w:val="sl-SI"/>
                    </w:rPr>
                  </w:pPr>
                </w:p>
                <w:p w14:paraId="7E6F01EA" w14:textId="38B8BDF8" w:rsidR="005D043C" w:rsidRPr="004A448A" w:rsidRDefault="005D043C" w:rsidP="006D3F55">
                  <w:pPr>
                    <w:jc w:val="both"/>
                    <w:rPr>
                      <w:rFonts w:cs="Arial"/>
                      <w:szCs w:val="20"/>
                      <w:lang w:val="sl-SI"/>
                    </w:rPr>
                  </w:pPr>
                  <w:r w:rsidRPr="004A448A">
                    <w:rPr>
                      <w:rFonts w:cs="Arial"/>
                      <w:szCs w:val="20"/>
                      <w:lang w:val="sl-SI"/>
                    </w:rPr>
                    <w:t>(</w:t>
                  </w:r>
                  <w:r w:rsidR="004305B7" w:rsidRPr="004A448A">
                    <w:rPr>
                      <w:rFonts w:cs="Arial"/>
                      <w:szCs w:val="20"/>
                      <w:lang w:val="sl-SI"/>
                    </w:rPr>
                    <w:t>6</w:t>
                  </w:r>
                  <w:r w:rsidRPr="004A448A">
                    <w:rPr>
                      <w:rFonts w:cs="Arial"/>
                      <w:szCs w:val="20"/>
                      <w:lang w:val="sl-SI"/>
                    </w:rPr>
                    <w:t>) Podrobnejši potek sanacijskega postopka, vsebino sanacijskega načrta iz tretjega odstavka tega člena in poročanje o sanacijskih ukrepih določi vlada z uredbo.«.</w:t>
                  </w:r>
                </w:p>
                <w:p w14:paraId="2000F5A2" w14:textId="3F8A7027" w:rsidR="005D043C" w:rsidRPr="004A448A" w:rsidRDefault="005D043C" w:rsidP="007F1AA0">
                  <w:pPr>
                    <w:spacing w:line="240" w:lineRule="auto"/>
                    <w:jc w:val="both"/>
                    <w:rPr>
                      <w:rFonts w:cs="Arial"/>
                      <w:szCs w:val="20"/>
                      <w:lang w:val="sl-SI" w:eastAsia="sl-SI"/>
                    </w:rPr>
                  </w:pPr>
                </w:p>
                <w:p w14:paraId="3CFD6B60" w14:textId="610D083B" w:rsidR="00B32FD8" w:rsidRPr="004A448A" w:rsidRDefault="00B32FD8" w:rsidP="007F1AA0">
                  <w:pPr>
                    <w:spacing w:line="240" w:lineRule="auto"/>
                    <w:jc w:val="both"/>
                    <w:rPr>
                      <w:rFonts w:cs="Arial"/>
                      <w:szCs w:val="20"/>
                      <w:lang w:val="sl-SI" w:eastAsia="sl-SI"/>
                    </w:rPr>
                  </w:pPr>
                </w:p>
                <w:p w14:paraId="0BD15591" w14:textId="4058EBED" w:rsidR="00D4118A" w:rsidRPr="004A448A" w:rsidRDefault="006D3F55" w:rsidP="00B30F31">
                  <w:pPr>
                    <w:spacing w:line="240" w:lineRule="auto"/>
                    <w:jc w:val="center"/>
                    <w:rPr>
                      <w:rFonts w:cs="Arial"/>
                      <w:szCs w:val="20"/>
                      <w:lang w:val="sl-SI" w:eastAsia="sl-SI"/>
                    </w:rPr>
                  </w:pPr>
                  <w:r w:rsidRPr="004A448A">
                    <w:rPr>
                      <w:rFonts w:cs="Arial"/>
                      <w:szCs w:val="20"/>
                      <w:lang w:val="sl-SI" w:eastAsia="sl-SI"/>
                    </w:rPr>
                    <w:t>3</w:t>
                  </w:r>
                  <w:r w:rsidR="00D4118A" w:rsidRPr="004A448A">
                    <w:rPr>
                      <w:rFonts w:cs="Arial"/>
                      <w:szCs w:val="20"/>
                      <w:lang w:val="sl-SI" w:eastAsia="sl-SI"/>
                    </w:rPr>
                    <w:t>. člen</w:t>
                  </w:r>
                </w:p>
                <w:p w14:paraId="78CC57B1" w14:textId="77777777" w:rsidR="00D4118A" w:rsidRPr="004A448A" w:rsidRDefault="00D4118A" w:rsidP="00B30F31">
                  <w:pPr>
                    <w:spacing w:line="240" w:lineRule="auto"/>
                    <w:jc w:val="both"/>
                    <w:rPr>
                      <w:rFonts w:cs="Arial"/>
                      <w:szCs w:val="20"/>
                      <w:lang w:val="sl-SI" w:eastAsia="sl-SI"/>
                    </w:rPr>
                  </w:pPr>
                </w:p>
                <w:p w14:paraId="524D0E19" w14:textId="77777777" w:rsidR="00D4118A" w:rsidRPr="004A448A" w:rsidRDefault="00D4118A" w:rsidP="00B30F31">
                  <w:pPr>
                    <w:spacing w:line="240" w:lineRule="auto"/>
                    <w:jc w:val="both"/>
                    <w:rPr>
                      <w:rFonts w:cs="Arial"/>
                      <w:szCs w:val="20"/>
                      <w:lang w:val="sl-SI" w:eastAsia="sl-SI"/>
                    </w:rPr>
                  </w:pPr>
                  <w:r w:rsidRPr="004A448A">
                    <w:rPr>
                      <w:rFonts w:cs="Arial"/>
                      <w:szCs w:val="20"/>
                      <w:lang w:val="sl-SI" w:eastAsia="sl-SI"/>
                    </w:rPr>
                    <w:t xml:space="preserve">V </w:t>
                  </w:r>
                  <w:proofErr w:type="spellStart"/>
                  <w:r w:rsidRPr="004A448A">
                    <w:rPr>
                      <w:rFonts w:cs="Arial"/>
                      <w:szCs w:val="20"/>
                      <w:lang w:val="sl-SI" w:eastAsia="sl-SI"/>
                    </w:rPr>
                    <w:t>10.c</w:t>
                  </w:r>
                  <w:proofErr w:type="spellEnd"/>
                  <w:r w:rsidRPr="004A448A">
                    <w:rPr>
                      <w:rFonts w:cs="Arial"/>
                      <w:szCs w:val="20"/>
                      <w:lang w:val="sl-SI" w:eastAsia="sl-SI"/>
                    </w:rPr>
                    <w:t xml:space="preserve"> členu se v prvem odstavku za besedilom »s črpanjem posojil« doda besedilo »in izdajo občinskih obveznic«. </w:t>
                  </w:r>
                </w:p>
                <w:p w14:paraId="7122A507" w14:textId="2BD15E7D" w:rsidR="00D4118A" w:rsidRPr="004A448A" w:rsidRDefault="006D3F55" w:rsidP="00B30F31">
                  <w:pPr>
                    <w:spacing w:line="240" w:lineRule="auto"/>
                    <w:jc w:val="center"/>
                    <w:rPr>
                      <w:rFonts w:cs="Arial"/>
                      <w:szCs w:val="20"/>
                      <w:lang w:val="sl-SI" w:eastAsia="sl-SI"/>
                    </w:rPr>
                  </w:pPr>
                  <w:r w:rsidRPr="004A448A">
                    <w:rPr>
                      <w:rFonts w:cs="Arial"/>
                      <w:szCs w:val="20"/>
                      <w:lang w:val="sl-SI" w:eastAsia="sl-SI"/>
                    </w:rPr>
                    <w:t>4</w:t>
                  </w:r>
                  <w:r w:rsidR="00D4118A" w:rsidRPr="004A448A">
                    <w:rPr>
                      <w:rFonts w:cs="Arial"/>
                      <w:szCs w:val="20"/>
                      <w:lang w:val="sl-SI" w:eastAsia="sl-SI"/>
                    </w:rPr>
                    <w:t>. člen</w:t>
                  </w:r>
                </w:p>
                <w:p w14:paraId="5921F67A" w14:textId="77777777" w:rsidR="00D4118A" w:rsidRPr="004A448A" w:rsidRDefault="00D4118A" w:rsidP="00B30F31">
                  <w:pPr>
                    <w:spacing w:line="240" w:lineRule="auto"/>
                    <w:jc w:val="center"/>
                    <w:rPr>
                      <w:rFonts w:cs="Arial"/>
                      <w:szCs w:val="20"/>
                      <w:lang w:val="sl-SI" w:eastAsia="sl-SI"/>
                    </w:rPr>
                  </w:pPr>
                </w:p>
                <w:p w14:paraId="06F986C2" w14:textId="49AE150C" w:rsidR="00D4118A" w:rsidRPr="004A448A" w:rsidRDefault="00103A4A" w:rsidP="00B30F31">
                  <w:pPr>
                    <w:spacing w:line="240" w:lineRule="auto"/>
                    <w:jc w:val="both"/>
                    <w:rPr>
                      <w:rFonts w:cs="Arial"/>
                      <w:szCs w:val="20"/>
                      <w:lang w:val="sl-SI" w:eastAsia="sl-SI"/>
                    </w:rPr>
                  </w:pPr>
                  <w:r w:rsidRPr="004A448A">
                    <w:rPr>
                      <w:rFonts w:cs="Arial"/>
                      <w:szCs w:val="20"/>
                      <w:lang w:val="sl-SI" w:eastAsia="sl-SI"/>
                    </w:rPr>
                    <w:t xml:space="preserve">Besedilo </w:t>
                  </w:r>
                  <w:r w:rsidR="002C45C5" w:rsidRPr="004A448A">
                    <w:rPr>
                      <w:rFonts w:cs="Arial"/>
                      <w:szCs w:val="20"/>
                      <w:lang w:val="sl-SI" w:eastAsia="sl-SI"/>
                    </w:rPr>
                    <w:t>13</w:t>
                  </w:r>
                  <w:r w:rsidR="00D4118A" w:rsidRPr="004A448A">
                    <w:rPr>
                      <w:rFonts w:cs="Arial"/>
                      <w:szCs w:val="20"/>
                      <w:lang w:val="sl-SI" w:eastAsia="sl-SI"/>
                    </w:rPr>
                    <w:t>. člen</w:t>
                  </w:r>
                  <w:r w:rsidRPr="004A448A">
                    <w:rPr>
                      <w:rFonts w:cs="Arial"/>
                      <w:szCs w:val="20"/>
                      <w:lang w:val="sl-SI" w:eastAsia="sl-SI"/>
                    </w:rPr>
                    <w:t>a</w:t>
                  </w:r>
                  <w:r w:rsidR="002C45C5" w:rsidRPr="004A448A">
                    <w:rPr>
                      <w:rFonts w:cs="Arial"/>
                      <w:szCs w:val="20"/>
                      <w:lang w:val="sl-SI" w:eastAsia="sl-SI"/>
                    </w:rPr>
                    <w:t xml:space="preserve"> se spremni tako</w:t>
                  </w:r>
                  <w:r w:rsidR="00D4118A" w:rsidRPr="004A448A">
                    <w:rPr>
                      <w:rFonts w:cs="Arial"/>
                      <w:szCs w:val="20"/>
                      <w:lang w:val="sl-SI" w:eastAsia="sl-SI"/>
                    </w:rPr>
                    <w:t xml:space="preserve">, </w:t>
                  </w:r>
                  <w:r w:rsidR="002C45C5" w:rsidRPr="004A448A">
                    <w:rPr>
                      <w:rFonts w:cs="Arial"/>
                      <w:szCs w:val="20"/>
                      <w:lang w:val="sl-SI" w:eastAsia="sl-SI"/>
                    </w:rPr>
                    <w:t>da</w:t>
                  </w:r>
                  <w:r w:rsidR="00D4118A" w:rsidRPr="004A448A">
                    <w:rPr>
                      <w:rFonts w:cs="Arial"/>
                      <w:szCs w:val="20"/>
                      <w:lang w:val="sl-SI" w:eastAsia="sl-SI"/>
                    </w:rPr>
                    <w:t xml:space="preserve"> se glasi:</w:t>
                  </w:r>
                </w:p>
                <w:p w14:paraId="636BDC51" w14:textId="3BF005F7" w:rsidR="002C45C5" w:rsidRPr="004A448A" w:rsidRDefault="002C45C5" w:rsidP="00B30F31">
                  <w:pPr>
                    <w:spacing w:line="240" w:lineRule="auto"/>
                    <w:jc w:val="center"/>
                    <w:rPr>
                      <w:rFonts w:cs="Arial"/>
                      <w:szCs w:val="20"/>
                      <w:lang w:val="sl-SI" w:eastAsia="sl-SI"/>
                    </w:rPr>
                  </w:pPr>
                </w:p>
                <w:p w14:paraId="5BE2E540" w14:textId="711AB114" w:rsidR="002C45C5" w:rsidRPr="004A448A" w:rsidRDefault="00103A4A" w:rsidP="002C45C5">
                  <w:pPr>
                    <w:rPr>
                      <w:rFonts w:cs="Arial"/>
                      <w:szCs w:val="20"/>
                      <w:shd w:val="clear" w:color="auto" w:fill="FFFFFF"/>
                      <w:lang w:val="sl-SI"/>
                    </w:rPr>
                  </w:pPr>
                  <w:r w:rsidRPr="004A448A">
                    <w:rPr>
                      <w:rFonts w:cs="Arial"/>
                      <w:szCs w:val="20"/>
                      <w:shd w:val="clear" w:color="auto" w:fill="FFFFFF"/>
                      <w:lang w:val="sl-SI"/>
                    </w:rPr>
                    <w:t>»</w:t>
                  </w:r>
                  <w:r w:rsidR="002C45C5" w:rsidRPr="004A448A">
                    <w:rPr>
                      <w:rFonts w:cs="Arial"/>
                      <w:szCs w:val="20"/>
                      <w:shd w:val="clear" w:color="auto" w:fill="FFFFFF"/>
                      <w:lang w:val="sl-SI"/>
                    </w:rPr>
                    <w:t>Primerno porabo občine za posamezno proračunsko leto ugotovi ministrstvo, pristojno za finance, po enačbi:</w:t>
                  </w:r>
                </w:p>
                <w:p w14:paraId="13BBBC61" w14:textId="77777777" w:rsidR="002C45C5" w:rsidRPr="004A448A" w:rsidRDefault="002C45C5" w:rsidP="002C45C5">
                  <w:pPr>
                    <w:rPr>
                      <w:rFonts w:cs="Arial"/>
                      <w:szCs w:val="20"/>
                      <w:lang w:val="sl-SI"/>
                    </w:rPr>
                  </w:pPr>
                </w:p>
                <w:p w14:paraId="14922FC9" w14:textId="3A5A30FD" w:rsidR="002C45C5" w:rsidRPr="004A448A" w:rsidRDefault="002C45C5" w:rsidP="002C45C5">
                  <w:pPr>
                    <w:rPr>
                      <w:rFonts w:cs="Arial"/>
                      <w:szCs w:val="20"/>
                      <w:lang w:val="sl-SI"/>
                    </w:rPr>
                  </w:pPr>
                  <w:proofErr w:type="spellStart"/>
                  <w:r w:rsidRPr="004A448A">
                    <w:rPr>
                      <w:rFonts w:cs="Arial"/>
                      <w:szCs w:val="20"/>
                      <w:lang w:val="sl-SI"/>
                    </w:rPr>
                    <w:t>PPi</w:t>
                  </w:r>
                  <w:proofErr w:type="spellEnd"/>
                  <w:r w:rsidRPr="004A448A">
                    <w:rPr>
                      <w:rFonts w:cs="Arial"/>
                      <w:szCs w:val="20"/>
                      <w:lang w:val="sl-SI"/>
                    </w:rPr>
                    <w:t xml:space="preserve"> = (0,61 + 0,13*</w:t>
                  </w:r>
                  <w:proofErr w:type="spellStart"/>
                  <w:r w:rsidRPr="004A448A">
                    <w:rPr>
                      <w:rFonts w:cs="Arial"/>
                      <w:szCs w:val="20"/>
                      <w:lang w:val="sl-SI"/>
                    </w:rPr>
                    <w:t>Ci</w:t>
                  </w:r>
                  <w:proofErr w:type="spellEnd"/>
                  <w:r w:rsidRPr="004A448A">
                    <w:rPr>
                      <w:rFonts w:cs="Arial"/>
                      <w:szCs w:val="20"/>
                      <w:lang w:val="sl-SI"/>
                    </w:rPr>
                    <w:t xml:space="preserve"> + 0,06*</w:t>
                  </w:r>
                  <w:proofErr w:type="spellStart"/>
                  <w:r w:rsidRPr="004A448A">
                    <w:rPr>
                      <w:rFonts w:cs="Arial"/>
                      <w:szCs w:val="20"/>
                      <w:lang w:val="sl-SI"/>
                    </w:rPr>
                    <w:t>Pi</w:t>
                  </w:r>
                  <w:proofErr w:type="spellEnd"/>
                  <w:r w:rsidRPr="004A448A">
                    <w:rPr>
                      <w:rFonts w:cs="Arial"/>
                      <w:szCs w:val="20"/>
                      <w:lang w:val="sl-SI"/>
                    </w:rPr>
                    <w:t xml:space="preserve"> + 0,12*</w:t>
                  </w:r>
                  <w:proofErr w:type="spellStart"/>
                  <w:r w:rsidRPr="004A448A">
                    <w:rPr>
                      <w:rFonts w:cs="Arial"/>
                      <w:szCs w:val="20"/>
                      <w:lang w:val="sl-SI"/>
                    </w:rPr>
                    <w:t>PMi</w:t>
                  </w:r>
                  <w:proofErr w:type="spellEnd"/>
                  <w:r w:rsidRPr="004A448A">
                    <w:rPr>
                      <w:rFonts w:cs="Arial"/>
                      <w:szCs w:val="20"/>
                      <w:lang w:val="sl-SI"/>
                    </w:rPr>
                    <w:t xml:space="preserve"> + 0,04*</w:t>
                  </w:r>
                  <w:proofErr w:type="spellStart"/>
                  <w:r w:rsidRPr="004A448A">
                    <w:rPr>
                      <w:rFonts w:cs="Arial"/>
                      <w:szCs w:val="20"/>
                      <w:lang w:val="sl-SI"/>
                    </w:rPr>
                    <w:t>ŠMi</w:t>
                  </w:r>
                  <w:proofErr w:type="spellEnd"/>
                  <w:r w:rsidRPr="004A448A">
                    <w:rPr>
                      <w:rFonts w:cs="Arial"/>
                      <w:szCs w:val="20"/>
                      <w:lang w:val="sl-SI"/>
                    </w:rPr>
                    <w:t xml:space="preserve"> + 0,015*</w:t>
                  </w:r>
                  <w:proofErr w:type="spellStart"/>
                  <w:r w:rsidRPr="004A448A">
                    <w:rPr>
                      <w:rFonts w:cs="Arial"/>
                      <w:szCs w:val="20"/>
                      <w:lang w:val="sl-SI"/>
                    </w:rPr>
                    <w:t>SUi</w:t>
                  </w:r>
                  <w:proofErr w:type="spellEnd"/>
                  <w:r w:rsidRPr="004A448A">
                    <w:rPr>
                      <w:rFonts w:cs="Arial"/>
                      <w:szCs w:val="20"/>
                      <w:lang w:val="sl-SI"/>
                    </w:rPr>
                    <w:t xml:space="preserve"> + 0,025*</w:t>
                  </w:r>
                  <w:proofErr w:type="spellStart"/>
                  <w:r w:rsidRPr="004A448A">
                    <w:rPr>
                      <w:rFonts w:cs="Arial"/>
                      <w:szCs w:val="20"/>
                      <w:lang w:val="sl-SI"/>
                    </w:rPr>
                    <w:t>SDi</w:t>
                  </w:r>
                  <w:proofErr w:type="spellEnd"/>
                  <w:r w:rsidRPr="004A448A">
                    <w:rPr>
                      <w:rFonts w:cs="Arial"/>
                      <w:szCs w:val="20"/>
                      <w:lang w:val="sl-SI"/>
                    </w:rPr>
                    <w:t>+ 0,06*</w:t>
                  </w:r>
                  <w:proofErr w:type="spellStart"/>
                  <w:r w:rsidR="00F354B7" w:rsidRPr="004A448A">
                    <w:rPr>
                      <w:rFonts w:cs="Arial"/>
                      <w:szCs w:val="20"/>
                      <w:lang w:val="sl-SI"/>
                    </w:rPr>
                    <w:t>Tt</w:t>
                  </w:r>
                  <w:r w:rsidRPr="004A448A">
                    <w:rPr>
                      <w:rFonts w:cs="Arial"/>
                      <w:szCs w:val="20"/>
                      <w:lang w:val="sl-SI"/>
                    </w:rPr>
                    <w:t>i</w:t>
                  </w:r>
                  <w:proofErr w:type="spellEnd"/>
                  <w:r w:rsidRPr="004A448A">
                    <w:rPr>
                      <w:rFonts w:cs="Arial"/>
                      <w:szCs w:val="20"/>
                      <w:lang w:val="sl-SI"/>
                    </w:rPr>
                    <w:t>)*P*</w:t>
                  </w:r>
                  <w:proofErr w:type="spellStart"/>
                  <w:r w:rsidRPr="004A448A">
                    <w:rPr>
                      <w:rFonts w:cs="Arial"/>
                      <w:szCs w:val="20"/>
                      <w:lang w:val="sl-SI"/>
                    </w:rPr>
                    <w:t>Oi</w:t>
                  </w:r>
                  <w:proofErr w:type="spellEnd"/>
                </w:p>
                <w:p w14:paraId="5F49768F" w14:textId="77777777" w:rsidR="002C45C5" w:rsidRPr="004A448A" w:rsidRDefault="002C45C5" w:rsidP="002C45C5">
                  <w:pPr>
                    <w:rPr>
                      <w:rFonts w:cs="Arial"/>
                      <w:szCs w:val="20"/>
                      <w:lang w:val="sl-SI"/>
                    </w:rPr>
                  </w:pPr>
                </w:p>
                <w:p w14:paraId="086AD892" w14:textId="77777777" w:rsidR="002C45C5" w:rsidRPr="004A448A" w:rsidRDefault="002C45C5" w:rsidP="002C45C5">
                  <w:pPr>
                    <w:pStyle w:val="zamaknjenadolobaprvinivo"/>
                    <w:shd w:val="clear" w:color="auto" w:fill="FFFFFF"/>
                    <w:spacing w:before="0" w:beforeAutospacing="0" w:after="0" w:afterAutospacing="0"/>
                    <w:jc w:val="both"/>
                    <w:rPr>
                      <w:rFonts w:ascii="Arial" w:hAnsi="Arial" w:cs="Arial"/>
                      <w:sz w:val="20"/>
                      <w:szCs w:val="20"/>
                    </w:rPr>
                  </w:pPr>
                  <w:r w:rsidRPr="004A448A">
                    <w:rPr>
                      <w:rFonts w:ascii="Arial" w:hAnsi="Arial" w:cs="Arial"/>
                      <w:sz w:val="20"/>
                      <w:szCs w:val="20"/>
                    </w:rPr>
                    <w:t>Pri tem je:</w:t>
                  </w:r>
                </w:p>
                <w:p w14:paraId="06031609" w14:textId="3A26952E" w:rsidR="002C45C5" w:rsidRPr="004A448A" w:rsidRDefault="002C45C5" w:rsidP="00F354B7">
                  <w:pPr>
                    <w:pStyle w:val="zamaknjenadolobaprvinivo"/>
                    <w:numPr>
                      <w:ilvl w:val="0"/>
                      <w:numId w:val="12"/>
                    </w:numPr>
                    <w:shd w:val="clear" w:color="auto" w:fill="FFFFFF"/>
                    <w:spacing w:before="0" w:beforeAutospacing="0" w:after="0" w:afterAutospacing="0"/>
                    <w:jc w:val="both"/>
                    <w:rPr>
                      <w:rFonts w:ascii="Arial" w:hAnsi="Arial" w:cs="Arial"/>
                      <w:sz w:val="20"/>
                      <w:szCs w:val="20"/>
                    </w:rPr>
                  </w:pPr>
                  <w:proofErr w:type="spellStart"/>
                  <w:r w:rsidRPr="004A448A">
                    <w:rPr>
                      <w:rFonts w:ascii="Arial" w:hAnsi="Arial" w:cs="Arial"/>
                      <w:sz w:val="20"/>
                      <w:szCs w:val="20"/>
                    </w:rPr>
                    <w:t>PPi</w:t>
                  </w:r>
                  <w:proofErr w:type="spellEnd"/>
                  <w:r w:rsidRPr="004A448A">
                    <w:rPr>
                      <w:rFonts w:ascii="Arial" w:hAnsi="Arial" w:cs="Arial"/>
                      <w:sz w:val="20"/>
                      <w:szCs w:val="20"/>
                    </w:rPr>
                    <w:t xml:space="preserve"> – primerna poraba občine;</w:t>
                  </w:r>
                </w:p>
                <w:p w14:paraId="3F710533" w14:textId="54F33F68" w:rsidR="002C45C5" w:rsidRPr="004A448A" w:rsidRDefault="002C45C5" w:rsidP="00F354B7">
                  <w:pPr>
                    <w:pStyle w:val="zamaknjenadolobaprvinivo"/>
                    <w:numPr>
                      <w:ilvl w:val="0"/>
                      <w:numId w:val="12"/>
                    </w:numPr>
                    <w:shd w:val="clear" w:color="auto" w:fill="FFFFFF"/>
                    <w:spacing w:before="0" w:beforeAutospacing="0" w:after="0" w:afterAutospacing="0"/>
                    <w:jc w:val="both"/>
                    <w:rPr>
                      <w:rFonts w:ascii="Arial" w:hAnsi="Arial" w:cs="Arial"/>
                      <w:sz w:val="20"/>
                      <w:szCs w:val="20"/>
                    </w:rPr>
                  </w:pPr>
                  <w:proofErr w:type="spellStart"/>
                  <w:r w:rsidRPr="004A448A">
                    <w:rPr>
                      <w:rFonts w:ascii="Arial" w:hAnsi="Arial" w:cs="Arial"/>
                      <w:sz w:val="20"/>
                      <w:szCs w:val="20"/>
                    </w:rPr>
                    <w:t>Ci</w:t>
                  </w:r>
                  <w:proofErr w:type="spellEnd"/>
                  <w:r w:rsidRPr="004A448A">
                    <w:rPr>
                      <w:rFonts w:ascii="Arial" w:hAnsi="Arial" w:cs="Arial"/>
                      <w:sz w:val="20"/>
                      <w:szCs w:val="20"/>
                    </w:rPr>
                    <w:t xml:space="preserve"> – razmerje med dolžino lokalnih cest in javnih poti na prebivalca v posamezni občini in dolžino lokalnih cest in javnih poti na prebivalca v celotni državi;</w:t>
                  </w:r>
                </w:p>
                <w:p w14:paraId="6DE15CA0" w14:textId="12D4570B" w:rsidR="002C45C5" w:rsidRPr="004A448A" w:rsidRDefault="002C45C5" w:rsidP="00F354B7">
                  <w:pPr>
                    <w:pStyle w:val="zamaknjenadolobaprvinivo"/>
                    <w:numPr>
                      <w:ilvl w:val="0"/>
                      <w:numId w:val="12"/>
                    </w:numPr>
                    <w:shd w:val="clear" w:color="auto" w:fill="FFFFFF"/>
                    <w:spacing w:before="0" w:beforeAutospacing="0" w:after="0" w:afterAutospacing="0"/>
                    <w:jc w:val="both"/>
                    <w:rPr>
                      <w:rFonts w:ascii="Arial" w:hAnsi="Arial" w:cs="Arial"/>
                      <w:sz w:val="20"/>
                      <w:szCs w:val="20"/>
                    </w:rPr>
                  </w:pPr>
                  <w:proofErr w:type="spellStart"/>
                  <w:r w:rsidRPr="004A448A">
                    <w:rPr>
                      <w:rFonts w:ascii="Arial" w:hAnsi="Arial" w:cs="Arial"/>
                      <w:sz w:val="20"/>
                      <w:szCs w:val="20"/>
                    </w:rPr>
                    <w:t>Pi</w:t>
                  </w:r>
                  <w:proofErr w:type="spellEnd"/>
                  <w:r w:rsidRPr="004A448A">
                    <w:rPr>
                      <w:rFonts w:ascii="Arial" w:hAnsi="Arial" w:cs="Arial"/>
                      <w:sz w:val="20"/>
                      <w:szCs w:val="20"/>
                    </w:rPr>
                    <w:t xml:space="preserve"> – razmerje med površino posamezne občine na prebivalca in površino celotne države na prebivalca;</w:t>
                  </w:r>
                </w:p>
                <w:p w14:paraId="79AB63ED" w14:textId="771C07CD" w:rsidR="002C45C5" w:rsidRPr="004A448A" w:rsidRDefault="002C45C5" w:rsidP="00F354B7">
                  <w:pPr>
                    <w:pStyle w:val="zamaknjenadolobaprvinivo"/>
                    <w:numPr>
                      <w:ilvl w:val="0"/>
                      <w:numId w:val="12"/>
                    </w:numPr>
                    <w:shd w:val="clear" w:color="auto" w:fill="FFFFFF"/>
                    <w:spacing w:before="0" w:beforeAutospacing="0" w:after="0" w:afterAutospacing="0"/>
                    <w:jc w:val="both"/>
                    <w:rPr>
                      <w:rFonts w:ascii="Arial" w:hAnsi="Arial" w:cs="Arial"/>
                      <w:sz w:val="20"/>
                      <w:szCs w:val="20"/>
                    </w:rPr>
                  </w:pPr>
                  <w:proofErr w:type="spellStart"/>
                  <w:r w:rsidRPr="004A448A">
                    <w:rPr>
                      <w:rFonts w:ascii="Arial" w:hAnsi="Arial" w:cs="Arial"/>
                      <w:sz w:val="20"/>
                      <w:szCs w:val="20"/>
                    </w:rPr>
                    <w:t>PMi</w:t>
                  </w:r>
                  <w:proofErr w:type="spellEnd"/>
                  <w:r w:rsidRPr="004A448A">
                    <w:rPr>
                      <w:rFonts w:ascii="Arial" w:hAnsi="Arial" w:cs="Arial"/>
                      <w:sz w:val="20"/>
                      <w:szCs w:val="20"/>
                    </w:rPr>
                    <w:t xml:space="preserve"> – razmerje med deležem prebivalcev občine, mlajših od 6 let, v celotnem prebivalstvu občine in povprečjem teh deležev v državi na dan 1. januarja leta, v katerem se ugotavlja primerna poraba občine;</w:t>
                  </w:r>
                </w:p>
                <w:p w14:paraId="3F257A67" w14:textId="09643644" w:rsidR="002C45C5" w:rsidRPr="004A448A" w:rsidRDefault="002C45C5" w:rsidP="00F354B7">
                  <w:pPr>
                    <w:pStyle w:val="zamaknjenadolobaprvinivo"/>
                    <w:numPr>
                      <w:ilvl w:val="0"/>
                      <w:numId w:val="12"/>
                    </w:numPr>
                    <w:shd w:val="clear" w:color="auto" w:fill="FFFFFF"/>
                    <w:spacing w:before="0" w:beforeAutospacing="0" w:after="0" w:afterAutospacing="0"/>
                    <w:jc w:val="both"/>
                    <w:rPr>
                      <w:rFonts w:ascii="Arial" w:hAnsi="Arial" w:cs="Arial"/>
                      <w:sz w:val="20"/>
                      <w:szCs w:val="20"/>
                    </w:rPr>
                  </w:pPr>
                  <w:proofErr w:type="spellStart"/>
                  <w:r w:rsidRPr="004A448A">
                    <w:rPr>
                      <w:rFonts w:ascii="Arial" w:hAnsi="Arial" w:cs="Arial"/>
                      <w:sz w:val="20"/>
                      <w:szCs w:val="20"/>
                    </w:rPr>
                    <w:t>ŠMi</w:t>
                  </w:r>
                  <w:proofErr w:type="spellEnd"/>
                  <w:r w:rsidRPr="004A448A">
                    <w:rPr>
                      <w:rFonts w:ascii="Arial" w:hAnsi="Arial" w:cs="Arial"/>
                      <w:sz w:val="20"/>
                      <w:szCs w:val="20"/>
                    </w:rPr>
                    <w:t xml:space="preserve"> – razmerje med deležem prebivalcev občine od 6 do 15 let v celotnem prebivalstvu občine in povprečjem teh deležev v državi na dan 1. januarja leta, v katerem se ugotavlja primerna poraba občine;</w:t>
                  </w:r>
                </w:p>
                <w:p w14:paraId="1BD58C46" w14:textId="64828CAB" w:rsidR="002C45C5" w:rsidRPr="004A448A" w:rsidRDefault="002C45C5" w:rsidP="00F354B7">
                  <w:pPr>
                    <w:pStyle w:val="zamaknjenadolobaprvinivo"/>
                    <w:numPr>
                      <w:ilvl w:val="0"/>
                      <w:numId w:val="12"/>
                    </w:numPr>
                    <w:shd w:val="clear" w:color="auto" w:fill="FFFFFF"/>
                    <w:spacing w:before="0" w:beforeAutospacing="0" w:after="0" w:afterAutospacing="0"/>
                    <w:jc w:val="both"/>
                    <w:rPr>
                      <w:rFonts w:ascii="Arial" w:hAnsi="Arial" w:cs="Arial"/>
                      <w:sz w:val="20"/>
                      <w:szCs w:val="20"/>
                    </w:rPr>
                  </w:pPr>
                  <w:proofErr w:type="spellStart"/>
                  <w:r w:rsidRPr="004A448A">
                    <w:rPr>
                      <w:rFonts w:ascii="Arial" w:hAnsi="Arial" w:cs="Arial"/>
                      <w:sz w:val="20"/>
                      <w:szCs w:val="20"/>
                    </w:rPr>
                    <w:t>SUi</w:t>
                  </w:r>
                  <w:proofErr w:type="spellEnd"/>
                  <w:r w:rsidRPr="004A448A">
                    <w:rPr>
                      <w:rFonts w:ascii="Arial" w:hAnsi="Arial" w:cs="Arial"/>
                      <w:sz w:val="20"/>
                      <w:szCs w:val="20"/>
                    </w:rPr>
                    <w:t xml:space="preserve"> – razmerje med deležem prebivalcev občine od 65 do 75 let v celotnem prebivalstvu občine in povprečjem teh deležev v državi na dan 1. januarja leta, v katerem se ugotavlja primerna poraba občine;</w:t>
                  </w:r>
                </w:p>
                <w:p w14:paraId="6A731E83" w14:textId="7F5B5E46" w:rsidR="002C45C5" w:rsidRPr="004A448A" w:rsidRDefault="002C45C5" w:rsidP="00F354B7">
                  <w:pPr>
                    <w:pStyle w:val="zamaknjenadolobaprvinivo"/>
                    <w:numPr>
                      <w:ilvl w:val="0"/>
                      <w:numId w:val="12"/>
                    </w:numPr>
                    <w:shd w:val="clear" w:color="auto" w:fill="FFFFFF"/>
                    <w:spacing w:before="0" w:beforeAutospacing="0" w:after="0" w:afterAutospacing="0"/>
                    <w:jc w:val="both"/>
                    <w:rPr>
                      <w:rFonts w:ascii="Arial" w:hAnsi="Arial" w:cs="Arial"/>
                      <w:sz w:val="20"/>
                      <w:szCs w:val="20"/>
                    </w:rPr>
                  </w:pPr>
                  <w:proofErr w:type="spellStart"/>
                  <w:r w:rsidRPr="004A448A">
                    <w:rPr>
                      <w:rFonts w:ascii="Arial" w:hAnsi="Arial" w:cs="Arial"/>
                      <w:sz w:val="20"/>
                      <w:szCs w:val="20"/>
                    </w:rPr>
                    <w:t>SDi</w:t>
                  </w:r>
                  <w:proofErr w:type="spellEnd"/>
                  <w:r w:rsidRPr="004A448A">
                    <w:rPr>
                      <w:rFonts w:ascii="Arial" w:hAnsi="Arial" w:cs="Arial"/>
                      <w:sz w:val="20"/>
                      <w:szCs w:val="20"/>
                    </w:rPr>
                    <w:t xml:space="preserve"> – razmerje med deležem prebivalcev občine, starejših od 75 let, v celotnem prebivalstvu občine in povprečjem teh deležev v državi na dan 1. januarja leta, v katerem se ugotavlja primerna poraba občine;</w:t>
                  </w:r>
                </w:p>
                <w:p w14:paraId="5D66738F" w14:textId="6F3CA1AE" w:rsidR="002C45C5" w:rsidRPr="004A448A" w:rsidRDefault="002C45C5" w:rsidP="00F354B7">
                  <w:pPr>
                    <w:pStyle w:val="zamaknjenadolobaprvinivo"/>
                    <w:numPr>
                      <w:ilvl w:val="0"/>
                      <w:numId w:val="12"/>
                    </w:numPr>
                    <w:shd w:val="clear" w:color="auto" w:fill="FFFFFF"/>
                    <w:spacing w:before="0" w:beforeAutospacing="0" w:after="0" w:afterAutospacing="0"/>
                    <w:jc w:val="both"/>
                    <w:rPr>
                      <w:rFonts w:ascii="Arial" w:hAnsi="Arial" w:cs="Arial"/>
                      <w:sz w:val="20"/>
                      <w:szCs w:val="20"/>
                    </w:rPr>
                  </w:pPr>
                  <w:r w:rsidRPr="004A448A">
                    <w:rPr>
                      <w:rFonts w:ascii="Arial" w:hAnsi="Arial" w:cs="Arial"/>
                      <w:sz w:val="20"/>
                      <w:szCs w:val="20"/>
                    </w:rPr>
                    <w:t>P – povprečnina;</w:t>
                  </w:r>
                </w:p>
                <w:p w14:paraId="34AB88DC" w14:textId="041392F7" w:rsidR="002C45C5" w:rsidRPr="004A448A" w:rsidRDefault="002C45C5" w:rsidP="00F354B7">
                  <w:pPr>
                    <w:pStyle w:val="zamaknjenadolobaprvinivo"/>
                    <w:numPr>
                      <w:ilvl w:val="0"/>
                      <w:numId w:val="12"/>
                    </w:numPr>
                    <w:shd w:val="clear" w:color="auto" w:fill="FFFFFF"/>
                    <w:spacing w:before="0" w:beforeAutospacing="0" w:after="0" w:afterAutospacing="0"/>
                    <w:jc w:val="both"/>
                    <w:rPr>
                      <w:rFonts w:ascii="Arial" w:hAnsi="Arial" w:cs="Arial"/>
                      <w:sz w:val="20"/>
                      <w:szCs w:val="20"/>
                    </w:rPr>
                  </w:pPr>
                  <w:proofErr w:type="spellStart"/>
                  <w:r w:rsidRPr="004A448A">
                    <w:rPr>
                      <w:rFonts w:ascii="Arial" w:hAnsi="Arial" w:cs="Arial"/>
                      <w:sz w:val="20"/>
                      <w:szCs w:val="20"/>
                    </w:rPr>
                    <w:t>Oi</w:t>
                  </w:r>
                  <w:proofErr w:type="spellEnd"/>
                  <w:r w:rsidRPr="004A448A">
                    <w:rPr>
                      <w:rFonts w:ascii="Arial" w:hAnsi="Arial" w:cs="Arial"/>
                      <w:sz w:val="20"/>
                      <w:szCs w:val="20"/>
                    </w:rPr>
                    <w:t xml:space="preserve"> – število prebivalcev v občini;</w:t>
                  </w:r>
                </w:p>
                <w:p w14:paraId="55736C47" w14:textId="18397BB1" w:rsidR="00352171" w:rsidRPr="000158B3" w:rsidRDefault="00F354B7" w:rsidP="00F354B7">
                  <w:pPr>
                    <w:pStyle w:val="Odstavekseznama"/>
                    <w:numPr>
                      <w:ilvl w:val="0"/>
                      <w:numId w:val="12"/>
                    </w:numPr>
                    <w:rPr>
                      <w:rFonts w:ascii="Arial" w:hAnsi="Arial" w:cs="Arial"/>
                      <w:sz w:val="20"/>
                      <w:szCs w:val="20"/>
                    </w:rPr>
                  </w:pPr>
                  <w:proofErr w:type="spellStart"/>
                  <w:r w:rsidRPr="000158B3">
                    <w:rPr>
                      <w:rFonts w:ascii="Arial" w:hAnsi="Arial" w:cs="Arial"/>
                      <w:sz w:val="20"/>
                      <w:szCs w:val="20"/>
                    </w:rPr>
                    <w:t>Tt</w:t>
                  </w:r>
                  <w:r w:rsidR="002C45C5" w:rsidRPr="000158B3">
                    <w:rPr>
                      <w:rFonts w:ascii="Arial" w:hAnsi="Arial" w:cs="Arial"/>
                      <w:sz w:val="20"/>
                      <w:szCs w:val="20"/>
                    </w:rPr>
                    <w:t>i</w:t>
                  </w:r>
                  <w:proofErr w:type="spellEnd"/>
                  <w:r w:rsidR="002C45C5" w:rsidRPr="000158B3">
                    <w:rPr>
                      <w:rFonts w:ascii="Arial" w:hAnsi="Arial" w:cs="Arial"/>
                      <w:sz w:val="20"/>
                      <w:szCs w:val="20"/>
                    </w:rPr>
                    <w:t xml:space="preserve"> - </w:t>
                  </w:r>
                  <w:r w:rsidR="00EB0D57" w:rsidRPr="000158B3">
                    <w:rPr>
                      <w:rFonts w:ascii="Arial" w:hAnsi="Arial" w:cs="Arial"/>
                      <w:sz w:val="20"/>
                      <w:szCs w:val="20"/>
                    </w:rPr>
                    <w:t>razmerje med tekočimi odhodki in tekočimi transferji na prebivalca posamezne občine iz zaključnega računa na prebivalca in površino tekočimi odhodki in tekočimi transferji  na prebivalca vseh občin iz zaključnega računa</w:t>
                  </w:r>
                  <w:r w:rsidR="00352171" w:rsidRPr="000158B3">
                    <w:rPr>
                      <w:rFonts w:ascii="Arial" w:hAnsi="Arial" w:cs="Arial"/>
                      <w:sz w:val="20"/>
                      <w:szCs w:val="20"/>
                    </w:rPr>
                    <w:t>.</w:t>
                  </w:r>
                  <w:r w:rsidR="00103A4A" w:rsidRPr="000158B3">
                    <w:rPr>
                      <w:rFonts w:ascii="Arial" w:hAnsi="Arial" w:cs="Arial"/>
                      <w:sz w:val="20"/>
                      <w:szCs w:val="20"/>
                    </w:rPr>
                    <w:t>«</w:t>
                  </w:r>
                  <w:r w:rsidR="00F92F58" w:rsidRPr="000158B3">
                    <w:rPr>
                      <w:rFonts w:ascii="Arial" w:hAnsi="Arial" w:cs="Arial"/>
                      <w:sz w:val="20"/>
                      <w:szCs w:val="20"/>
                    </w:rPr>
                    <w:t>.</w:t>
                  </w:r>
                </w:p>
                <w:p w14:paraId="32EC07A5" w14:textId="77777777" w:rsidR="00FC5772" w:rsidRPr="004A448A" w:rsidRDefault="00FC5772" w:rsidP="002C45C5">
                  <w:pPr>
                    <w:spacing w:line="240" w:lineRule="auto"/>
                    <w:jc w:val="both"/>
                    <w:rPr>
                      <w:rFonts w:cs="Arial"/>
                      <w:szCs w:val="20"/>
                      <w:lang w:val="sl-SI" w:eastAsia="sl-SI"/>
                    </w:rPr>
                  </w:pPr>
                </w:p>
                <w:p w14:paraId="16D6A813" w14:textId="3E099F5E" w:rsidR="00D4118A" w:rsidRPr="004A448A" w:rsidRDefault="006D3F55" w:rsidP="00B30F31">
                  <w:pPr>
                    <w:spacing w:line="240" w:lineRule="auto"/>
                    <w:jc w:val="center"/>
                    <w:rPr>
                      <w:rFonts w:cs="Arial"/>
                      <w:szCs w:val="20"/>
                      <w:lang w:val="sl-SI" w:eastAsia="sl-SI"/>
                    </w:rPr>
                  </w:pPr>
                  <w:r w:rsidRPr="004A448A">
                    <w:rPr>
                      <w:rFonts w:cs="Arial"/>
                      <w:szCs w:val="20"/>
                      <w:lang w:val="sl-SI" w:eastAsia="sl-SI"/>
                    </w:rPr>
                    <w:t>5</w:t>
                  </w:r>
                  <w:r w:rsidR="00D4118A" w:rsidRPr="004A448A">
                    <w:rPr>
                      <w:rFonts w:cs="Arial"/>
                      <w:szCs w:val="20"/>
                      <w:lang w:val="sl-SI" w:eastAsia="sl-SI"/>
                    </w:rPr>
                    <w:t>. člen</w:t>
                  </w:r>
                </w:p>
                <w:p w14:paraId="43FA94D4" w14:textId="77777777" w:rsidR="00D4118A" w:rsidRPr="004A448A" w:rsidRDefault="00D4118A" w:rsidP="00B30F31">
                  <w:pPr>
                    <w:spacing w:line="240" w:lineRule="auto"/>
                    <w:jc w:val="center"/>
                    <w:rPr>
                      <w:rFonts w:cs="Arial"/>
                      <w:szCs w:val="20"/>
                      <w:lang w:val="sl-SI" w:eastAsia="sl-SI"/>
                    </w:rPr>
                  </w:pPr>
                </w:p>
                <w:p w14:paraId="6CE88A22" w14:textId="77777777" w:rsidR="00D4118A" w:rsidRPr="004A448A" w:rsidRDefault="00D4118A" w:rsidP="00B30F31">
                  <w:pPr>
                    <w:spacing w:line="240" w:lineRule="auto"/>
                    <w:jc w:val="center"/>
                    <w:rPr>
                      <w:rFonts w:cs="Arial"/>
                      <w:szCs w:val="20"/>
                      <w:lang w:val="sl-SI" w:eastAsia="sl-SI"/>
                    </w:rPr>
                  </w:pPr>
                </w:p>
                <w:p w14:paraId="300826ED" w14:textId="77777777" w:rsidR="00D4118A" w:rsidRPr="004A448A" w:rsidRDefault="00D4118A" w:rsidP="00B30F31">
                  <w:pPr>
                    <w:spacing w:line="240" w:lineRule="auto"/>
                    <w:jc w:val="both"/>
                    <w:rPr>
                      <w:rFonts w:cs="Arial"/>
                      <w:szCs w:val="20"/>
                      <w:lang w:val="sl-SI" w:eastAsia="sl-SI"/>
                    </w:rPr>
                  </w:pPr>
                  <w:r w:rsidRPr="004A448A">
                    <w:rPr>
                      <w:rFonts w:cs="Arial"/>
                      <w:szCs w:val="20"/>
                      <w:lang w:val="sl-SI" w:eastAsia="sl-SI"/>
                    </w:rPr>
                    <w:t xml:space="preserve">Besedilo </w:t>
                  </w:r>
                  <w:proofErr w:type="spellStart"/>
                  <w:r w:rsidRPr="004A448A">
                    <w:rPr>
                      <w:rFonts w:cs="Arial"/>
                      <w:szCs w:val="20"/>
                      <w:lang w:val="sl-SI" w:eastAsia="sl-SI"/>
                    </w:rPr>
                    <w:t>20.a</w:t>
                  </w:r>
                  <w:proofErr w:type="spellEnd"/>
                  <w:r w:rsidRPr="004A448A">
                    <w:rPr>
                      <w:rFonts w:cs="Arial"/>
                      <w:szCs w:val="20"/>
                      <w:lang w:val="sl-SI" w:eastAsia="sl-SI"/>
                    </w:rPr>
                    <w:t xml:space="preserve"> člena se spremeni tako, da se glasi:</w:t>
                  </w:r>
                </w:p>
                <w:p w14:paraId="3969DCE2" w14:textId="6E5FB25D" w:rsidR="00D4118A" w:rsidRPr="004A448A" w:rsidRDefault="00D4118A" w:rsidP="00B30F31">
                  <w:pPr>
                    <w:pStyle w:val="odstavek"/>
                    <w:shd w:val="clear" w:color="auto" w:fill="FFFFFF"/>
                    <w:spacing w:before="240"/>
                    <w:jc w:val="both"/>
                    <w:rPr>
                      <w:rFonts w:ascii="Arial" w:hAnsi="Arial" w:cs="Arial"/>
                      <w:sz w:val="20"/>
                      <w:szCs w:val="20"/>
                    </w:rPr>
                  </w:pPr>
                  <w:r w:rsidRPr="004A448A">
                    <w:rPr>
                      <w:rFonts w:ascii="Arial" w:hAnsi="Arial" w:cs="Arial"/>
                      <w:sz w:val="20"/>
                      <w:szCs w:val="20"/>
                    </w:rPr>
                    <w:t xml:space="preserve">»(1) Občinam z evidentiranimi romskimi naselji se iz državnega proračuna zagotovijo sredstva za sofinanciranje obveznosti občin </w:t>
                  </w:r>
                  <w:r w:rsidR="00C45430" w:rsidRPr="004A448A">
                    <w:rPr>
                      <w:rFonts w:ascii="Arial" w:hAnsi="Arial" w:cs="Arial"/>
                      <w:sz w:val="20"/>
                      <w:szCs w:val="20"/>
                    </w:rPr>
                    <w:t>za urejanje položaja in pravic romske skupnosti</w:t>
                  </w:r>
                  <w:r w:rsidRPr="004A448A">
                    <w:rPr>
                      <w:rFonts w:ascii="Arial" w:hAnsi="Arial" w:cs="Arial"/>
                      <w:sz w:val="20"/>
                      <w:szCs w:val="20"/>
                    </w:rPr>
                    <w:t>.</w:t>
                  </w:r>
                  <w:r w:rsidR="00B80EE0" w:rsidRPr="004A448A">
                    <w:rPr>
                      <w:rFonts w:ascii="Arial" w:hAnsi="Arial" w:cs="Arial"/>
                      <w:sz w:val="20"/>
                      <w:szCs w:val="20"/>
                    </w:rPr>
                    <w:t xml:space="preserve"> </w:t>
                  </w:r>
                  <w:r w:rsidRPr="004A448A">
                    <w:rPr>
                      <w:rFonts w:ascii="Arial" w:hAnsi="Arial" w:cs="Arial"/>
                      <w:sz w:val="20"/>
                      <w:szCs w:val="20"/>
                    </w:rPr>
                    <w:t xml:space="preserve"> Seznam občin </w:t>
                  </w:r>
                  <w:r w:rsidR="00B80EE0" w:rsidRPr="004A448A">
                    <w:rPr>
                      <w:rFonts w:ascii="Arial" w:hAnsi="Arial" w:cs="Arial"/>
                      <w:sz w:val="20"/>
                      <w:szCs w:val="20"/>
                    </w:rPr>
                    <w:t xml:space="preserve">z evidentiranimi romskimi naselji </w:t>
                  </w:r>
                  <w:r w:rsidRPr="004A448A">
                    <w:rPr>
                      <w:rFonts w:ascii="Arial" w:hAnsi="Arial" w:cs="Arial"/>
                      <w:sz w:val="20"/>
                      <w:szCs w:val="20"/>
                    </w:rPr>
                    <w:t xml:space="preserve">določi vlada s sklepom. </w:t>
                  </w:r>
                </w:p>
                <w:p w14:paraId="2D4BA524" w14:textId="6121AF73" w:rsidR="00D4118A" w:rsidRPr="004A448A" w:rsidRDefault="00D4118A" w:rsidP="00B30F31">
                  <w:pPr>
                    <w:pStyle w:val="odstavek"/>
                    <w:shd w:val="clear" w:color="auto" w:fill="FFFFFF"/>
                    <w:spacing w:before="240"/>
                    <w:jc w:val="both"/>
                    <w:rPr>
                      <w:rFonts w:ascii="Arial" w:hAnsi="Arial" w:cs="Arial"/>
                      <w:sz w:val="20"/>
                      <w:szCs w:val="20"/>
                    </w:rPr>
                  </w:pPr>
                  <w:r w:rsidRPr="004A448A">
                    <w:rPr>
                      <w:rFonts w:ascii="Arial" w:hAnsi="Arial" w:cs="Arial"/>
                      <w:sz w:val="20"/>
                      <w:szCs w:val="20"/>
                    </w:rPr>
                    <w:t>(</w:t>
                  </w:r>
                  <w:r w:rsidR="00B80EE0" w:rsidRPr="004A448A">
                    <w:rPr>
                      <w:rFonts w:ascii="Arial" w:hAnsi="Arial" w:cs="Arial"/>
                      <w:sz w:val="20"/>
                      <w:szCs w:val="20"/>
                    </w:rPr>
                    <w:t>2</w:t>
                  </w:r>
                  <w:r w:rsidRPr="004A448A">
                    <w:rPr>
                      <w:rFonts w:ascii="Arial" w:hAnsi="Arial" w:cs="Arial"/>
                      <w:sz w:val="20"/>
                      <w:szCs w:val="20"/>
                    </w:rPr>
                    <w:t>) Sredstva iz prvega odstavka tega člena se za vsako proračunsko leto zagotovijo v višini 3,5 % skupne primerne porabe občin iz prvega odstavka.</w:t>
                  </w:r>
                  <w:r w:rsidR="003941EC">
                    <w:rPr>
                      <w:rFonts w:ascii="Arial" w:hAnsi="Arial" w:cs="Arial"/>
                      <w:sz w:val="20"/>
                      <w:szCs w:val="20"/>
                    </w:rPr>
                    <w:t xml:space="preserve"> </w:t>
                  </w:r>
                  <w:r w:rsidR="003941EC" w:rsidRPr="003941EC">
                    <w:rPr>
                      <w:rFonts w:ascii="Arial" w:hAnsi="Arial" w:cs="Arial"/>
                      <w:sz w:val="20"/>
                      <w:szCs w:val="20"/>
                    </w:rPr>
                    <w:t>Sredstva za sofinanciranje obveznosti občin z evidentiranimi romskimi naselji se občini nakaže v dveh obrokih, in sicer do 20. marca in do 20. septembra tekočega leta.</w:t>
                  </w:r>
                </w:p>
                <w:p w14:paraId="7BEFFF39" w14:textId="2C9ACFE5" w:rsidR="00C45430" w:rsidRPr="004A448A" w:rsidRDefault="00C45430" w:rsidP="00C45430">
                  <w:pPr>
                    <w:pStyle w:val="odstavek"/>
                    <w:shd w:val="clear" w:color="auto" w:fill="FFFFFF"/>
                    <w:spacing w:before="240" w:beforeAutospacing="0" w:after="0" w:afterAutospacing="0"/>
                    <w:jc w:val="both"/>
                    <w:rPr>
                      <w:rFonts w:ascii="Arial" w:hAnsi="Arial" w:cs="Arial"/>
                      <w:sz w:val="20"/>
                      <w:szCs w:val="20"/>
                    </w:rPr>
                  </w:pPr>
                  <w:r w:rsidRPr="004A448A">
                    <w:rPr>
                      <w:rFonts w:ascii="Arial" w:hAnsi="Arial" w:cs="Arial"/>
                      <w:sz w:val="20"/>
                      <w:szCs w:val="20"/>
                    </w:rPr>
                    <w:t>(</w:t>
                  </w:r>
                  <w:r w:rsidR="00B80EE0" w:rsidRPr="004A448A">
                    <w:rPr>
                      <w:rFonts w:ascii="Arial" w:hAnsi="Arial" w:cs="Arial"/>
                      <w:sz w:val="20"/>
                      <w:szCs w:val="20"/>
                    </w:rPr>
                    <w:t>3</w:t>
                  </w:r>
                  <w:r w:rsidRPr="004A448A">
                    <w:rPr>
                      <w:rFonts w:ascii="Arial" w:hAnsi="Arial" w:cs="Arial"/>
                      <w:sz w:val="20"/>
                      <w:szCs w:val="20"/>
                    </w:rPr>
                    <w:t xml:space="preserve">) Sredstva za sofinanciranje nalog iz prvega odstavka tega člena se </w:t>
                  </w:r>
                  <w:r w:rsidR="00B80EE0" w:rsidRPr="004A448A">
                    <w:rPr>
                      <w:rFonts w:ascii="Arial" w:hAnsi="Arial" w:cs="Arial"/>
                      <w:sz w:val="20"/>
                      <w:szCs w:val="20"/>
                    </w:rPr>
                    <w:t xml:space="preserve">za posamezno občino </w:t>
                  </w:r>
                  <w:r w:rsidRPr="004A448A">
                    <w:rPr>
                      <w:rFonts w:ascii="Arial" w:hAnsi="Arial" w:cs="Arial"/>
                      <w:sz w:val="20"/>
                      <w:szCs w:val="20"/>
                    </w:rPr>
                    <w:t xml:space="preserve">izračunajo ob upoštevanju števila prebivalcev občine, površine občine, razvitosti občine, števila </w:t>
                  </w:r>
                  <w:r w:rsidR="00B80EE0" w:rsidRPr="004A448A">
                    <w:rPr>
                      <w:rFonts w:ascii="Arial" w:hAnsi="Arial" w:cs="Arial"/>
                      <w:sz w:val="20"/>
                      <w:szCs w:val="20"/>
                    </w:rPr>
                    <w:t xml:space="preserve">evidentiranih </w:t>
                  </w:r>
                  <w:r w:rsidRPr="004A448A">
                    <w:rPr>
                      <w:rFonts w:ascii="Arial" w:hAnsi="Arial" w:cs="Arial"/>
                      <w:sz w:val="20"/>
                      <w:szCs w:val="20"/>
                    </w:rPr>
                    <w:t xml:space="preserve">romskih naselij in ocenjenega števila prebivalcev </w:t>
                  </w:r>
                  <w:r w:rsidR="00B80EE0" w:rsidRPr="004A448A">
                    <w:rPr>
                      <w:rFonts w:ascii="Arial" w:hAnsi="Arial" w:cs="Arial"/>
                      <w:sz w:val="20"/>
                      <w:szCs w:val="20"/>
                    </w:rPr>
                    <w:t xml:space="preserve">evidentiranih </w:t>
                  </w:r>
                  <w:r w:rsidRPr="004A448A">
                    <w:rPr>
                      <w:rFonts w:ascii="Arial" w:hAnsi="Arial" w:cs="Arial"/>
                      <w:sz w:val="20"/>
                      <w:szCs w:val="20"/>
                    </w:rPr>
                    <w:t xml:space="preserve">romskih naselij. </w:t>
                  </w:r>
                </w:p>
                <w:p w14:paraId="7123BA8C" w14:textId="3A48E93B" w:rsidR="00D4118A" w:rsidRPr="004A448A" w:rsidRDefault="00D4118A" w:rsidP="00B30F31">
                  <w:pPr>
                    <w:pStyle w:val="odstavek"/>
                    <w:shd w:val="clear" w:color="auto" w:fill="FFFFFF"/>
                    <w:spacing w:before="240"/>
                    <w:jc w:val="both"/>
                    <w:rPr>
                      <w:rFonts w:ascii="Arial" w:hAnsi="Arial" w:cs="Arial"/>
                      <w:sz w:val="20"/>
                      <w:szCs w:val="20"/>
                    </w:rPr>
                  </w:pPr>
                  <w:r w:rsidRPr="004A448A">
                    <w:rPr>
                      <w:rFonts w:ascii="Arial" w:hAnsi="Arial" w:cs="Arial"/>
                      <w:sz w:val="20"/>
                      <w:szCs w:val="20"/>
                    </w:rPr>
                    <w:t>(</w:t>
                  </w:r>
                  <w:r w:rsidR="00B80EE0" w:rsidRPr="004A448A">
                    <w:rPr>
                      <w:rFonts w:ascii="Arial" w:hAnsi="Arial" w:cs="Arial"/>
                      <w:sz w:val="20"/>
                      <w:szCs w:val="20"/>
                    </w:rPr>
                    <w:t>4</w:t>
                  </w:r>
                  <w:r w:rsidRPr="004A448A">
                    <w:rPr>
                      <w:rFonts w:ascii="Arial" w:hAnsi="Arial" w:cs="Arial"/>
                      <w:sz w:val="20"/>
                      <w:szCs w:val="20"/>
                    </w:rPr>
                    <w:t>) Podrobnejše namene porabe in merila za izračun višine sredstev, ki pripadajo posameznim občinam z romskimi naselji, določi vlada z uredbo.</w:t>
                  </w:r>
                  <w:r w:rsidR="00B80EE0" w:rsidRPr="004A448A">
                    <w:rPr>
                      <w:rFonts w:ascii="Arial" w:hAnsi="Arial" w:cs="Arial"/>
                      <w:sz w:val="20"/>
                      <w:szCs w:val="20"/>
                    </w:rPr>
                    <w:t xml:space="preserve"> </w:t>
                  </w:r>
                </w:p>
                <w:p w14:paraId="6BC12EB2" w14:textId="155511B4" w:rsidR="00B80EE0" w:rsidRPr="004A448A" w:rsidRDefault="00B80EE0" w:rsidP="00B80EE0">
                  <w:pPr>
                    <w:pStyle w:val="odstavek"/>
                    <w:shd w:val="clear" w:color="auto" w:fill="FFFFFF"/>
                    <w:jc w:val="both"/>
                    <w:rPr>
                      <w:rFonts w:ascii="Arial" w:hAnsi="Arial" w:cs="Arial"/>
                      <w:sz w:val="20"/>
                      <w:szCs w:val="20"/>
                    </w:rPr>
                  </w:pPr>
                  <w:r w:rsidRPr="004A448A">
                    <w:rPr>
                      <w:rFonts w:ascii="Arial" w:hAnsi="Arial" w:cs="Arial"/>
                      <w:color w:val="000000"/>
                      <w:sz w:val="20"/>
                      <w:szCs w:val="20"/>
                    </w:rPr>
                    <w:t>(5) Občina iz prvega odstavka tega člena je dolžna organu, pristojnemu za narodnosti, poročati o porabi sredstev iz tega člena.</w:t>
                  </w:r>
                </w:p>
                <w:p w14:paraId="02B8935C" w14:textId="733A3F68" w:rsidR="00D4118A" w:rsidRPr="004A448A" w:rsidRDefault="00D4118A" w:rsidP="00B30F31">
                  <w:pPr>
                    <w:spacing w:line="240" w:lineRule="auto"/>
                    <w:jc w:val="both"/>
                    <w:rPr>
                      <w:rFonts w:cs="Arial"/>
                      <w:color w:val="000000"/>
                      <w:szCs w:val="20"/>
                      <w:lang w:val="sl-SI"/>
                    </w:rPr>
                  </w:pPr>
                  <w:r w:rsidRPr="004A448A">
                    <w:rPr>
                      <w:rFonts w:cs="Arial"/>
                      <w:szCs w:val="20"/>
                      <w:lang w:val="sl-SI"/>
                    </w:rPr>
                    <w:t>(</w:t>
                  </w:r>
                  <w:r w:rsidR="00B80EE0" w:rsidRPr="004A448A">
                    <w:rPr>
                      <w:rFonts w:cs="Arial"/>
                      <w:szCs w:val="20"/>
                      <w:lang w:val="sl-SI"/>
                    </w:rPr>
                    <w:t>6</w:t>
                  </w:r>
                  <w:r w:rsidRPr="004A448A">
                    <w:rPr>
                      <w:rFonts w:cs="Arial"/>
                      <w:szCs w:val="20"/>
                      <w:lang w:val="sl-SI"/>
                    </w:rPr>
                    <w:t xml:space="preserve">) Na podlagi uredbe iz </w:t>
                  </w:r>
                  <w:r w:rsidR="00B80EE0" w:rsidRPr="004A448A">
                    <w:rPr>
                      <w:rFonts w:cs="Arial"/>
                      <w:szCs w:val="20"/>
                      <w:lang w:val="sl-SI"/>
                    </w:rPr>
                    <w:t>četrtega</w:t>
                  </w:r>
                  <w:r w:rsidRPr="004A448A">
                    <w:rPr>
                      <w:rFonts w:cs="Arial"/>
                      <w:szCs w:val="20"/>
                      <w:lang w:val="sl-SI"/>
                    </w:rPr>
                    <w:t xml:space="preserve"> odstavka</w:t>
                  </w:r>
                  <w:r w:rsidR="00B80EE0" w:rsidRPr="004A448A">
                    <w:rPr>
                      <w:rFonts w:cs="Arial"/>
                      <w:szCs w:val="20"/>
                      <w:lang w:val="sl-SI"/>
                    </w:rPr>
                    <w:t xml:space="preserve"> tega člena</w:t>
                  </w:r>
                  <w:r w:rsidRPr="004A448A">
                    <w:rPr>
                      <w:rFonts w:cs="Arial"/>
                      <w:szCs w:val="20"/>
                      <w:lang w:val="sl-SI"/>
                    </w:rPr>
                    <w:t xml:space="preserve"> izda vlada na predlog državnega organa, pristojnega za narodnosti, vsako leto odločbo o višini sredstev, ki pripada posamezni občini.</w:t>
                  </w:r>
                  <w:r w:rsidRPr="004A448A">
                    <w:rPr>
                      <w:rFonts w:cs="Arial"/>
                      <w:color w:val="000000"/>
                      <w:szCs w:val="20"/>
                      <w:lang w:val="sl-SI"/>
                    </w:rPr>
                    <w:t>«.</w:t>
                  </w:r>
                </w:p>
                <w:p w14:paraId="7DF9E5B1" w14:textId="4F5A487E" w:rsidR="00D4118A" w:rsidRPr="004A448A" w:rsidRDefault="00D4118A" w:rsidP="00B30F31">
                  <w:pPr>
                    <w:spacing w:line="240" w:lineRule="auto"/>
                    <w:jc w:val="both"/>
                    <w:rPr>
                      <w:rFonts w:cs="Arial"/>
                      <w:color w:val="000000"/>
                      <w:szCs w:val="20"/>
                      <w:lang w:val="sl-SI"/>
                    </w:rPr>
                  </w:pPr>
                </w:p>
                <w:p w14:paraId="76EDBD1F" w14:textId="2A617315" w:rsidR="00D4118A" w:rsidRPr="004A448A" w:rsidRDefault="00AA3ACA" w:rsidP="00B30F31">
                  <w:pPr>
                    <w:spacing w:line="240" w:lineRule="auto"/>
                    <w:jc w:val="center"/>
                    <w:rPr>
                      <w:rFonts w:cs="Arial"/>
                      <w:szCs w:val="20"/>
                      <w:lang w:val="sl-SI" w:eastAsia="sl-SI"/>
                    </w:rPr>
                  </w:pPr>
                  <w:r>
                    <w:rPr>
                      <w:rFonts w:cs="Arial"/>
                      <w:color w:val="000000"/>
                      <w:szCs w:val="20"/>
                      <w:lang w:val="it-IT"/>
                    </w:rPr>
                    <w:t>6</w:t>
                  </w:r>
                  <w:r w:rsidR="00D4118A" w:rsidRPr="004A448A">
                    <w:rPr>
                      <w:rFonts w:cs="Arial"/>
                      <w:color w:val="000000"/>
                      <w:szCs w:val="20"/>
                      <w:lang w:val="it-IT"/>
                    </w:rPr>
                    <w:t xml:space="preserve">. </w:t>
                  </w:r>
                  <w:r w:rsidR="00D4118A" w:rsidRPr="004A448A">
                    <w:rPr>
                      <w:rFonts w:cs="Arial"/>
                      <w:color w:val="000000"/>
                      <w:szCs w:val="20"/>
                      <w:lang w:val="sl-SI"/>
                    </w:rPr>
                    <w:t>člen</w:t>
                  </w:r>
                </w:p>
                <w:p w14:paraId="197D4EEB" w14:textId="77777777" w:rsidR="00D4118A" w:rsidRPr="004A448A" w:rsidRDefault="00D4118A" w:rsidP="00B30F31">
                  <w:pPr>
                    <w:spacing w:line="240" w:lineRule="auto"/>
                    <w:jc w:val="both"/>
                    <w:rPr>
                      <w:rFonts w:cs="Arial"/>
                      <w:szCs w:val="20"/>
                      <w:lang w:val="sl-SI" w:eastAsia="sl-SI"/>
                    </w:rPr>
                  </w:pPr>
                </w:p>
                <w:p w14:paraId="77493C33" w14:textId="355D8653" w:rsidR="00D4118A" w:rsidRPr="004A448A" w:rsidRDefault="00103A4A" w:rsidP="00B30F31">
                  <w:pPr>
                    <w:spacing w:line="240" w:lineRule="auto"/>
                    <w:jc w:val="both"/>
                    <w:rPr>
                      <w:rFonts w:cs="Arial"/>
                      <w:szCs w:val="20"/>
                      <w:lang w:val="sl-SI" w:eastAsia="sl-SI"/>
                    </w:rPr>
                  </w:pPr>
                  <w:r w:rsidRPr="004A448A">
                    <w:rPr>
                      <w:rFonts w:cs="Arial"/>
                      <w:szCs w:val="20"/>
                      <w:lang w:val="sl-SI" w:eastAsia="sl-SI"/>
                    </w:rPr>
                    <w:t xml:space="preserve">Besedilo </w:t>
                  </w:r>
                  <w:r w:rsidR="00D4118A" w:rsidRPr="004A448A">
                    <w:rPr>
                      <w:rFonts w:cs="Arial"/>
                      <w:szCs w:val="20"/>
                      <w:lang w:val="sl-SI" w:eastAsia="sl-SI"/>
                    </w:rPr>
                    <w:t>24. člen</w:t>
                  </w:r>
                  <w:r w:rsidRPr="004A448A">
                    <w:rPr>
                      <w:rFonts w:cs="Arial"/>
                      <w:szCs w:val="20"/>
                      <w:lang w:val="sl-SI" w:eastAsia="sl-SI"/>
                    </w:rPr>
                    <w:t>a</w:t>
                  </w:r>
                  <w:r w:rsidR="00D4118A" w:rsidRPr="004A448A">
                    <w:rPr>
                      <w:rFonts w:cs="Arial"/>
                      <w:szCs w:val="20"/>
                      <w:lang w:val="sl-SI" w:eastAsia="sl-SI"/>
                    </w:rPr>
                    <w:t xml:space="preserve"> se spremeni tako, da se glasi:</w:t>
                  </w:r>
                </w:p>
                <w:p w14:paraId="37A49B45" w14:textId="2E06187C" w:rsidR="00D4118A" w:rsidRPr="004A448A" w:rsidRDefault="00D4118A" w:rsidP="00B30F31">
                  <w:pPr>
                    <w:spacing w:line="240" w:lineRule="auto"/>
                    <w:jc w:val="center"/>
                    <w:rPr>
                      <w:rFonts w:cs="Arial"/>
                      <w:szCs w:val="20"/>
                      <w:lang w:val="sl-SI" w:eastAsia="sl-SI"/>
                    </w:rPr>
                  </w:pPr>
                </w:p>
                <w:p w14:paraId="40E56621" w14:textId="2B12AAFD" w:rsidR="00D4118A" w:rsidRPr="004A448A" w:rsidRDefault="00103A4A" w:rsidP="00B30F31">
                  <w:pPr>
                    <w:spacing w:line="240" w:lineRule="auto"/>
                    <w:jc w:val="both"/>
                    <w:rPr>
                      <w:rFonts w:cs="Arial"/>
                      <w:szCs w:val="20"/>
                      <w:lang w:val="sl-SI" w:eastAsia="sl-SI"/>
                    </w:rPr>
                  </w:pPr>
                  <w:r w:rsidRPr="004A448A">
                    <w:rPr>
                      <w:rFonts w:cs="Arial"/>
                      <w:szCs w:val="20"/>
                      <w:lang w:val="sl-SI" w:eastAsia="sl-SI"/>
                    </w:rPr>
                    <w:t>»</w:t>
                  </w:r>
                  <w:r w:rsidR="00D4118A" w:rsidRPr="004A448A">
                    <w:rPr>
                      <w:rFonts w:cs="Arial"/>
                      <w:szCs w:val="20"/>
                      <w:lang w:val="sl-SI" w:eastAsia="sl-SI"/>
                    </w:rPr>
                    <w:t xml:space="preserve">(1) Razvitost občin kot merilo za sofinanciranje investicij občin določi ministrstvo, pristojno za finance za dve leti, na podlagi metodologije, ki jo določi vlada z uredbo. </w:t>
                  </w:r>
                </w:p>
                <w:p w14:paraId="3B8BE571" w14:textId="77777777" w:rsidR="00D4118A" w:rsidRPr="004A448A" w:rsidRDefault="00D4118A" w:rsidP="00B30F31">
                  <w:pPr>
                    <w:spacing w:line="240" w:lineRule="auto"/>
                    <w:jc w:val="both"/>
                    <w:rPr>
                      <w:rFonts w:cs="Arial"/>
                      <w:szCs w:val="20"/>
                      <w:lang w:val="sl-SI" w:eastAsia="sl-SI"/>
                    </w:rPr>
                  </w:pPr>
                </w:p>
                <w:p w14:paraId="00EDF7A5" w14:textId="77777777" w:rsidR="00D4118A" w:rsidRPr="004A448A" w:rsidRDefault="00D4118A" w:rsidP="00B30F31">
                  <w:pPr>
                    <w:spacing w:line="240" w:lineRule="auto"/>
                    <w:jc w:val="both"/>
                    <w:rPr>
                      <w:rFonts w:cs="Arial"/>
                      <w:szCs w:val="20"/>
                      <w:lang w:val="sl-SI" w:eastAsia="sl-SI"/>
                    </w:rPr>
                  </w:pPr>
                  <w:r w:rsidRPr="004A448A">
                    <w:rPr>
                      <w:rFonts w:cs="Arial"/>
                      <w:szCs w:val="20"/>
                      <w:lang w:val="sl-SI" w:eastAsia="sl-SI"/>
                    </w:rPr>
                    <w:t>(2) Razvitost posamezne občine se izračuna ob upoštevanju:</w:t>
                  </w:r>
                </w:p>
                <w:p w14:paraId="44423561" w14:textId="77777777" w:rsidR="00D4118A" w:rsidRPr="004A448A" w:rsidRDefault="00D4118A" w:rsidP="00B30F31">
                  <w:pPr>
                    <w:spacing w:line="240" w:lineRule="auto"/>
                    <w:jc w:val="both"/>
                    <w:rPr>
                      <w:rFonts w:cs="Arial"/>
                      <w:szCs w:val="20"/>
                      <w:lang w:val="sl-SI" w:eastAsia="sl-SI"/>
                    </w:rPr>
                  </w:pPr>
                  <w:r w:rsidRPr="004A448A">
                    <w:rPr>
                      <w:rFonts w:cs="Arial"/>
                      <w:szCs w:val="20"/>
                      <w:lang w:val="sl-SI" w:eastAsia="sl-SI"/>
                    </w:rPr>
                    <w:t>- kazalnikov dimenzije družba, ki so: gostota naseljenosti, indeks staranja prebivalcev in stopnja izobraženosti;</w:t>
                  </w:r>
                </w:p>
                <w:p w14:paraId="3B06AC2C" w14:textId="77777777" w:rsidR="00D4118A" w:rsidRPr="004A448A" w:rsidRDefault="00D4118A" w:rsidP="00B30F31">
                  <w:pPr>
                    <w:spacing w:line="240" w:lineRule="auto"/>
                    <w:jc w:val="both"/>
                    <w:rPr>
                      <w:rFonts w:cs="Arial"/>
                      <w:szCs w:val="20"/>
                      <w:lang w:val="sl-SI" w:eastAsia="sl-SI"/>
                    </w:rPr>
                  </w:pPr>
                  <w:r w:rsidRPr="004A448A">
                    <w:rPr>
                      <w:rFonts w:cs="Arial"/>
                      <w:szCs w:val="20"/>
                      <w:lang w:val="sl-SI" w:eastAsia="sl-SI"/>
                    </w:rPr>
                    <w:t>- kazalnikov dimenzije gospodarstva, ki so: število delovno aktivnega prebivalstva, bruto dodana vrednost gospodarskih družb na zaposlenega, število podjetij in število delovnih mest;</w:t>
                  </w:r>
                </w:p>
                <w:p w14:paraId="0A07E270" w14:textId="77777777" w:rsidR="00D4118A" w:rsidRPr="004A448A" w:rsidRDefault="00D4118A" w:rsidP="00B30F31">
                  <w:pPr>
                    <w:spacing w:line="240" w:lineRule="auto"/>
                    <w:jc w:val="both"/>
                    <w:rPr>
                      <w:rFonts w:cs="Arial"/>
                      <w:szCs w:val="20"/>
                      <w:lang w:val="sl-SI" w:eastAsia="sl-SI"/>
                    </w:rPr>
                  </w:pPr>
                  <w:r w:rsidRPr="004A448A">
                    <w:rPr>
                      <w:rFonts w:cs="Arial"/>
                      <w:szCs w:val="20"/>
                      <w:lang w:val="sl-SI" w:eastAsia="sl-SI"/>
                    </w:rPr>
                    <w:t>- kazalnikov dimenzije infrastruktura, ki so: število otrok vključenih v predšolsko vzgojo, število učencev vključenih v osnovnošolsko izobraževanje in opremljenost s komunalnimi dobrinami;</w:t>
                  </w:r>
                </w:p>
                <w:p w14:paraId="6B869CFB" w14:textId="1DF7538D" w:rsidR="00D4118A" w:rsidRPr="004A448A" w:rsidRDefault="00D4118A" w:rsidP="00B30F31">
                  <w:pPr>
                    <w:spacing w:line="240" w:lineRule="auto"/>
                    <w:jc w:val="both"/>
                    <w:rPr>
                      <w:rFonts w:cs="Arial"/>
                      <w:szCs w:val="20"/>
                      <w:lang w:val="sl-SI" w:eastAsia="sl-SI"/>
                    </w:rPr>
                  </w:pPr>
                  <w:r w:rsidRPr="004A448A">
                    <w:rPr>
                      <w:rFonts w:cs="Arial"/>
                      <w:szCs w:val="20"/>
                      <w:lang w:val="sl-SI" w:eastAsia="sl-SI"/>
                    </w:rPr>
                    <w:t xml:space="preserve">- kazalnikov dimenzije finančnih virov, ki </w:t>
                  </w:r>
                  <w:r w:rsidR="002C45C5" w:rsidRPr="004A448A">
                    <w:rPr>
                      <w:rFonts w:cs="Arial"/>
                      <w:szCs w:val="20"/>
                      <w:lang w:val="sl-SI" w:eastAsia="sl-SI"/>
                    </w:rPr>
                    <w:t>je</w:t>
                  </w:r>
                  <w:r w:rsidRPr="004A448A">
                    <w:rPr>
                      <w:rFonts w:cs="Arial"/>
                      <w:szCs w:val="20"/>
                      <w:lang w:val="sl-SI" w:eastAsia="sl-SI"/>
                    </w:rPr>
                    <w:t>: delež prihodkov</w:t>
                  </w:r>
                  <w:r w:rsidR="002C45C5" w:rsidRPr="004A448A">
                    <w:rPr>
                      <w:rFonts w:cs="Arial"/>
                      <w:szCs w:val="20"/>
                      <w:lang w:val="sl-SI" w:eastAsia="sl-SI"/>
                    </w:rPr>
                    <w:t xml:space="preserve"> občine</w:t>
                  </w:r>
                  <w:r w:rsidRPr="004A448A">
                    <w:rPr>
                      <w:rFonts w:cs="Arial"/>
                      <w:szCs w:val="20"/>
                      <w:lang w:val="sl-SI" w:eastAsia="sl-SI"/>
                    </w:rPr>
                    <w:t xml:space="preserve">, </w:t>
                  </w:r>
                  <w:r w:rsidR="002C45C5" w:rsidRPr="004A448A">
                    <w:rPr>
                      <w:rFonts w:cs="Arial"/>
                      <w:szCs w:val="20"/>
                      <w:lang w:val="sl-SI" w:eastAsia="sl-SI"/>
                    </w:rPr>
                    <w:t>razen prihodkov iz primerne porabe</w:t>
                  </w:r>
                  <w:r w:rsidRPr="004A448A">
                    <w:rPr>
                      <w:rFonts w:cs="Arial"/>
                      <w:szCs w:val="20"/>
                      <w:lang w:val="sl-SI" w:eastAsia="sl-SI"/>
                    </w:rPr>
                    <w:t>.</w:t>
                  </w:r>
                </w:p>
                <w:p w14:paraId="26412F2A" w14:textId="77777777" w:rsidR="00D4118A" w:rsidRPr="004A448A" w:rsidRDefault="00D4118A" w:rsidP="00B30F31">
                  <w:pPr>
                    <w:spacing w:line="240" w:lineRule="auto"/>
                    <w:jc w:val="both"/>
                    <w:rPr>
                      <w:rFonts w:cs="Arial"/>
                      <w:szCs w:val="20"/>
                      <w:lang w:val="sl-SI" w:eastAsia="sl-SI"/>
                    </w:rPr>
                  </w:pPr>
                </w:p>
                <w:p w14:paraId="2DBB19FA" w14:textId="77777777" w:rsidR="00D4118A" w:rsidRPr="004A448A" w:rsidRDefault="00D4118A" w:rsidP="00B30F31">
                  <w:pPr>
                    <w:spacing w:line="240" w:lineRule="auto"/>
                    <w:jc w:val="both"/>
                    <w:rPr>
                      <w:rFonts w:cs="Arial"/>
                      <w:szCs w:val="20"/>
                      <w:lang w:val="sl-SI" w:eastAsia="sl-SI"/>
                    </w:rPr>
                  </w:pPr>
                  <w:r w:rsidRPr="004A448A">
                    <w:rPr>
                      <w:rFonts w:cs="Arial"/>
                      <w:szCs w:val="20"/>
                      <w:lang w:val="sl-SI" w:eastAsia="sl-SI"/>
                    </w:rPr>
                    <w:t>(3) Vlada z uredbo iz prvega odstavka tega člena podrobneje določi, kateri podatki iz uradnih evidenc in za kakšna obdobja se upoštevajo pri izračunu kazalnikov iz prejšnjega odstavka ter določi organe, pristojne za pripravo podatkov.«.</w:t>
                  </w:r>
                </w:p>
                <w:p w14:paraId="7DE05CBD" w14:textId="3E3D374A" w:rsidR="00D4118A" w:rsidRPr="004A448A" w:rsidRDefault="00D4118A" w:rsidP="00B30F31">
                  <w:pPr>
                    <w:spacing w:line="240" w:lineRule="auto"/>
                    <w:jc w:val="both"/>
                    <w:rPr>
                      <w:rFonts w:cs="Arial"/>
                      <w:szCs w:val="20"/>
                      <w:lang w:val="sl-SI" w:eastAsia="sl-SI"/>
                    </w:rPr>
                  </w:pPr>
                </w:p>
                <w:p w14:paraId="703CF136" w14:textId="77777777" w:rsidR="00214D2D" w:rsidRPr="004A448A" w:rsidRDefault="00214D2D" w:rsidP="00B30F31">
                  <w:pPr>
                    <w:spacing w:line="240" w:lineRule="auto"/>
                    <w:jc w:val="both"/>
                    <w:rPr>
                      <w:rFonts w:cs="Arial"/>
                      <w:szCs w:val="20"/>
                      <w:lang w:val="sl-SI" w:eastAsia="sl-SI"/>
                    </w:rPr>
                  </w:pPr>
                </w:p>
                <w:p w14:paraId="2352C575" w14:textId="7788C33E" w:rsidR="00D4118A" w:rsidRPr="004A448A" w:rsidRDefault="00AA3ACA" w:rsidP="00B30F31">
                  <w:pPr>
                    <w:spacing w:line="240" w:lineRule="auto"/>
                    <w:jc w:val="center"/>
                    <w:rPr>
                      <w:rFonts w:cs="Arial"/>
                      <w:szCs w:val="20"/>
                      <w:lang w:val="sl-SI" w:eastAsia="sl-SI"/>
                    </w:rPr>
                  </w:pPr>
                  <w:r>
                    <w:rPr>
                      <w:rFonts w:cs="Arial"/>
                      <w:szCs w:val="20"/>
                      <w:lang w:val="sl-SI" w:eastAsia="sl-SI"/>
                    </w:rPr>
                    <w:t>7</w:t>
                  </w:r>
                  <w:r w:rsidR="00D4118A" w:rsidRPr="004A448A">
                    <w:rPr>
                      <w:rFonts w:cs="Arial"/>
                      <w:szCs w:val="20"/>
                      <w:lang w:val="sl-SI" w:eastAsia="sl-SI"/>
                    </w:rPr>
                    <w:t>. člen</w:t>
                  </w:r>
                </w:p>
                <w:p w14:paraId="396DEAA7" w14:textId="77777777" w:rsidR="00D4118A" w:rsidRPr="004A448A" w:rsidRDefault="00D4118A" w:rsidP="00B30F31">
                  <w:pPr>
                    <w:spacing w:line="240" w:lineRule="auto"/>
                    <w:jc w:val="center"/>
                    <w:rPr>
                      <w:rFonts w:cs="Arial"/>
                      <w:szCs w:val="20"/>
                      <w:lang w:val="sl-SI" w:eastAsia="sl-SI"/>
                    </w:rPr>
                  </w:pPr>
                </w:p>
                <w:p w14:paraId="48CFD7A4" w14:textId="7EB485C2" w:rsidR="00D4118A" w:rsidRPr="004A448A" w:rsidRDefault="0058387D" w:rsidP="00B30F31">
                  <w:pPr>
                    <w:spacing w:line="240" w:lineRule="auto"/>
                    <w:jc w:val="both"/>
                    <w:rPr>
                      <w:rFonts w:cs="Arial"/>
                      <w:szCs w:val="20"/>
                      <w:lang w:val="sl-SI" w:eastAsia="sl-SI"/>
                    </w:rPr>
                  </w:pPr>
                  <w:r w:rsidRPr="004A448A">
                    <w:rPr>
                      <w:rFonts w:cs="Arial"/>
                      <w:szCs w:val="20"/>
                      <w:lang w:val="sl-SI" w:eastAsia="sl-SI"/>
                    </w:rPr>
                    <w:t xml:space="preserve">Besedilo </w:t>
                  </w:r>
                  <w:proofErr w:type="spellStart"/>
                  <w:r w:rsidR="00D4118A" w:rsidRPr="004A448A">
                    <w:rPr>
                      <w:rFonts w:cs="Arial"/>
                      <w:szCs w:val="20"/>
                      <w:lang w:val="sl-SI" w:eastAsia="sl-SI"/>
                    </w:rPr>
                    <w:t>24.a</w:t>
                  </w:r>
                  <w:proofErr w:type="spellEnd"/>
                  <w:r w:rsidR="00D4118A" w:rsidRPr="004A448A">
                    <w:rPr>
                      <w:rFonts w:cs="Arial"/>
                      <w:szCs w:val="20"/>
                      <w:lang w:val="sl-SI" w:eastAsia="sl-SI"/>
                    </w:rPr>
                    <w:t xml:space="preserve"> člen</w:t>
                  </w:r>
                  <w:r w:rsidRPr="004A448A">
                    <w:rPr>
                      <w:rFonts w:cs="Arial"/>
                      <w:szCs w:val="20"/>
                      <w:lang w:val="sl-SI" w:eastAsia="sl-SI"/>
                    </w:rPr>
                    <w:t>a</w:t>
                  </w:r>
                  <w:r w:rsidR="00D4118A" w:rsidRPr="004A448A">
                    <w:rPr>
                      <w:rFonts w:cs="Arial"/>
                      <w:szCs w:val="20"/>
                      <w:lang w:val="sl-SI" w:eastAsia="sl-SI"/>
                    </w:rPr>
                    <w:t xml:space="preserve"> </w:t>
                  </w:r>
                  <w:r w:rsidR="00C543FC" w:rsidRPr="004A448A">
                    <w:rPr>
                      <w:rFonts w:cs="Arial"/>
                      <w:szCs w:val="20"/>
                      <w:lang w:val="sl-SI" w:eastAsia="sl-SI"/>
                    </w:rPr>
                    <w:t>se spremeni tako, da se glasi:</w:t>
                  </w:r>
                </w:p>
                <w:p w14:paraId="5EB730EC" w14:textId="0B9EDDB0" w:rsidR="00C543FC" w:rsidRPr="004A448A" w:rsidRDefault="0058387D" w:rsidP="0058387D">
                  <w:pPr>
                    <w:pStyle w:val="odstavek"/>
                    <w:shd w:val="clear" w:color="auto" w:fill="FFFFFF"/>
                    <w:spacing w:after="0" w:afterAutospacing="0"/>
                    <w:jc w:val="both"/>
                    <w:rPr>
                      <w:rFonts w:ascii="Arial" w:hAnsi="Arial" w:cs="Arial"/>
                      <w:sz w:val="20"/>
                      <w:szCs w:val="20"/>
                    </w:rPr>
                  </w:pPr>
                  <w:r w:rsidRPr="004A448A">
                    <w:rPr>
                      <w:rFonts w:ascii="Arial" w:hAnsi="Arial" w:cs="Arial"/>
                      <w:sz w:val="20"/>
                      <w:szCs w:val="20"/>
                    </w:rPr>
                    <w:t>»</w:t>
                  </w:r>
                  <w:r w:rsidR="00C543FC" w:rsidRPr="004A448A">
                    <w:rPr>
                      <w:rFonts w:ascii="Arial" w:hAnsi="Arial" w:cs="Arial"/>
                      <w:sz w:val="20"/>
                      <w:szCs w:val="20"/>
                    </w:rPr>
                    <w:t>Neposredni uporabnik državnega proračuna, pristojen za posamezno investicijo, mora določiti obseg sofinanciranja investicije v skladu z naslednjimi merili:</w:t>
                  </w:r>
                </w:p>
                <w:p w14:paraId="34DCAC72" w14:textId="07E453BF" w:rsidR="00C543FC" w:rsidRPr="004A448A" w:rsidRDefault="00C543FC" w:rsidP="00C543FC">
                  <w:pPr>
                    <w:pStyle w:val="alineazaodstavkom"/>
                    <w:shd w:val="clear" w:color="auto" w:fill="FFFFFF"/>
                    <w:spacing w:after="0" w:afterAutospacing="0"/>
                    <w:ind w:hanging="425"/>
                    <w:jc w:val="both"/>
                    <w:rPr>
                      <w:rFonts w:ascii="Arial" w:hAnsi="Arial" w:cs="Arial"/>
                      <w:sz w:val="20"/>
                      <w:szCs w:val="20"/>
                    </w:rPr>
                  </w:pPr>
                  <w:r w:rsidRPr="004A448A">
                    <w:rPr>
                      <w:rFonts w:ascii="Arial" w:hAnsi="Arial" w:cs="Arial"/>
                      <w:sz w:val="20"/>
                      <w:szCs w:val="20"/>
                    </w:rPr>
                    <w:t>-        če je razvitost občine …… v višini 80 % upravičenih stroškov investicije brez davka na dodano vrednost;</w:t>
                  </w:r>
                </w:p>
                <w:p w14:paraId="10D05BAC" w14:textId="71E4417C" w:rsidR="00C543FC" w:rsidRPr="004A448A" w:rsidRDefault="00C543FC" w:rsidP="00C543FC">
                  <w:pPr>
                    <w:pStyle w:val="alineazaodstavkom"/>
                    <w:shd w:val="clear" w:color="auto" w:fill="FFFFFF"/>
                    <w:spacing w:after="0" w:afterAutospacing="0"/>
                    <w:ind w:hanging="425"/>
                    <w:jc w:val="both"/>
                    <w:rPr>
                      <w:rFonts w:ascii="Arial" w:hAnsi="Arial" w:cs="Arial"/>
                      <w:sz w:val="20"/>
                      <w:szCs w:val="20"/>
                    </w:rPr>
                  </w:pPr>
                  <w:r w:rsidRPr="004A448A">
                    <w:rPr>
                      <w:rFonts w:ascii="Arial" w:hAnsi="Arial" w:cs="Arial"/>
                      <w:sz w:val="20"/>
                      <w:szCs w:val="20"/>
                    </w:rPr>
                    <w:t>-        če je razvitost občine ….. – v višini 70 % upravičenih stroškov investicije brez davka na dodano vrednost;</w:t>
                  </w:r>
                </w:p>
                <w:p w14:paraId="24598930" w14:textId="12944D96" w:rsidR="00C543FC" w:rsidRPr="004A448A" w:rsidRDefault="00C543FC" w:rsidP="00C543FC">
                  <w:pPr>
                    <w:pStyle w:val="alineazaodstavkom"/>
                    <w:shd w:val="clear" w:color="auto" w:fill="FFFFFF"/>
                    <w:spacing w:after="0" w:afterAutospacing="0"/>
                    <w:ind w:hanging="425"/>
                    <w:jc w:val="both"/>
                    <w:rPr>
                      <w:rFonts w:ascii="Arial" w:hAnsi="Arial" w:cs="Arial"/>
                      <w:sz w:val="20"/>
                      <w:szCs w:val="20"/>
                    </w:rPr>
                  </w:pPr>
                  <w:r w:rsidRPr="004A448A">
                    <w:rPr>
                      <w:rFonts w:ascii="Arial" w:hAnsi="Arial" w:cs="Arial"/>
                      <w:sz w:val="20"/>
                      <w:szCs w:val="20"/>
                    </w:rPr>
                    <w:t>-        če je razvitost občine …..  – v višini 60 % upravičenih stroškov investicije brez davka na dodano vrednost;</w:t>
                  </w:r>
                </w:p>
                <w:p w14:paraId="19F0B6A7" w14:textId="2B9916BB" w:rsidR="00C543FC" w:rsidRPr="004A448A" w:rsidRDefault="00C543FC" w:rsidP="00C543FC">
                  <w:pPr>
                    <w:pStyle w:val="alineazaodstavkom"/>
                    <w:shd w:val="clear" w:color="auto" w:fill="FFFFFF"/>
                    <w:spacing w:after="0" w:afterAutospacing="0"/>
                    <w:ind w:hanging="425"/>
                    <w:jc w:val="both"/>
                    <w:rPr>
                      <w:rFonts w:ascii="Arial" w:hAnsi="Arial" w:cs="Arial"/>
                      <w:sz w:val="20"/>
                      <w:szCs w:val="20"/>
                    </w:rPr>
                  </w:pPr>
                  <w:r w:rsidRPr="004A448A">
                    <w:rPr>
                      <w:rFonts w:ascii="Arial" w:hAnsi="Arial" w:cs="Arial"/>
                      <w:sz w:val="20"/>
                      <w:szCs w:val="20"/>
                    </w:rPr>
                    <w:t>-        če je razvitost občine … – v višini 50 % upravičenih stroškov investicije brez davka na dodano vrednost;</w:t>
                  </w:r>
                </w:p>
                <w:p w14:paraId="61F5F03B" w14:textId="2181F4A9" w:rsidR="00C543FC" w:rsidRPr="004A448A" w:rsidRDefault="00C543FC" w:rsidP="00BF4ED0">
                  <w:pPr>
                    <w:pStyle w:val="alineazaodstavkom"/>
                    <w:shd w:val="clear" w:color="auto" w:fill="FFFFFF"/>
                    <w:spacing w:after="0" w:afterAutospacing="0"/>
                    <w:ind w:hanging="425"/>
                    <w:jc w:val="both"/>
                    <w:rPr>
                      <w:rFonts w:ascii="Arial" w:hAnsi="Arial" w:cs="Arial"/>
                      <w:sz w:val="20"/>
                      <w:szCs w:val="20"/>
                    </w:rPr>
                  </w:pPr>
                  <w:r w:rsidRPr="004A448A">
                    <w:rPr>
                      <w:rFonts w:ascii="Arial" w:hAnsi="Arial" w:cs="Arial"/>
                      <w:sz w:val="20"/>
                      <w:szCs w:val="20"/>
                    </w:rPr>
                    <w:t>-        če je razvitost občine … – v višini 40 % upravičenih stroškov investicije brez davka na dodano vrednost</w:t>
                  </w:r>
                  <w:r w:rsidR="00BF4ED0" w:rsidRPr="004A448A">
                    <w:rPr>
                      <w:rFonts w:ascii="Arial" w:hAnsi="Arial" w:cs="Arial"/>
                      <w:sz w:val="20"/>
                      <w:szCs w:val="20"/>
                    </w:rPr>
                    <w:t>.</w:t>
                  </w:r>
                  <w:r w:rsidR="0058387D" w:rsidRPr="004A448A">
                    <w:rPr>
                      <w:rFonts w:ascii="Arial" w:hAnsi="Arial" w:cs="Arial"/>
                      <w:sz w:val="20"/>
                      <w:szCs w:val="20"/>
                    </w:rPr>
                    <w:t>«.</w:t>
                  </w:r>
                  <w:r w:rsidRPr="004A448A">
                    <w:rPr>
                      <w:rFonts w:ascii="Arial" w:hAnsi="Arial" w:cs="Arial"/>
                      <w:sz w:val="20"/>
                      <w:szCs w:val="20"/>
                    </w:rPr>
                    <w:t>   </w:t>
                  </w:r>
                </w:p>
                <w:p w14:paraId="689099A6" w14:textId="77777777" w:rsidR="00D4118A" w:rsidRPr="004A448A" w:rsidRDefault="00D4118A" w:rsidP="00B30F31">
                  <w:pPr>
                    <w:spacing w:line="240" w:lineRule="auto"/>
                    <w:jc w:val="center"/>
                    <w:rPr>
                      <w:rFonts w:cs="Arial"/>
                      <w:szCs w:val="20"/>
                      <w:lang w:val="sl-SI" w:eastAsia="sl-SI"/>
                    </w:rPr>
                  </w:pPr>
                </w:p>
                <w:p w14:paraId="0E6364CD" w14:textId="54B720D3" w:rsidR="00D4118A" w:rsidRPr="004A448A" w:rsidRDefault="00AA3ACA" w:rsidP="00B30F31">
                  <w:pPr>
                    <w:spacing w:line="240" w:lineRule="auto"/>
                    <w:jc w:val="center"/>
                    <w:rPr>
                      <w:rFonts w:cs="Arial"/>
                      <w:szCs w:val="20"/>
                      <w:lang w:val="sl-SI" w:eastAsia="sl-SI"/>
                    </w:rPr>
                  </w:pPr>
                  <w:r>
                    <w:rPr>
                      <w:rFonts w:cs="Arial"/>
                      <w:szCs w:val="20"/>
                      <w:lang w:val="sl-SI" w:eastAsia="sl-SI"/>
                    </w:rPr>
                    <w:t>8</w:t>
                  </w:r>
                  <w:r w:rsidR="00D4118A" w:rsidRPr="004A448A">
                    <w:rPr>
                      <w:rFonts w:cs="Arial"/>
                      <w:szCs w:val="20"/>
                      <w:lang w:val="sl-SI" w:eastAsia="sl-SI"/>
                    </w:rPr>
                    <w:t>. člen</w:t>
                  </w:r>
                </w:p>
                <w:p w14:paraId="161ECABE" w14:textId="77777777" w:rsidR="00D4118A" w:rsidRPr="004A448A" w:rsidRDefault="00D4118A" w:rsidP="00B30F31">
                  <w:pPr>
                    <w:spacing w:line="240" w:lineRule="auto"/>
                    <w:jc w:val="center"/>
                    <w:rPr>
                      <w:rFonts w:cs="Arial"/>
                      <w:szCs w:val="20"/>
                      <w:lang w:val="sl-SI" w:eastAsia="sl-SI"/>
                    </w:rPr>
                  </w:pPr>
                </w:p>
                <w:p w14:paraId="32704157" w14:textId="77777777" w:rsidR="0036585F" w:rsidRPr="009B421B" w:rsidRDefault="0036585F" w:rsidP="0036585F">
                  <w:pPr>
                    <w:spacing w:line="240" w:lineRule="auto"/>
                    <w:jc w:val="both"/>
                    <w:rPr>
                      <w:rFonts w:cs="Arial"/>
                      <w:szCs w:val="20"/>
                      <w:lang w:val="sl-SI" w:eastAsia="sl-SI"/>
                    </w:rPr>
                  </w:pPr>
                  <w:r w:rsidRPr="009B421B">
                    <w:rPr>
                      <w:rFonts w:cs="Arial"/>
                      <w:szCs w:val="20"/>
                      <w:lang w:val="sl-SI" w:eastAsia="sl-SI"/>
                    </w:rPr>
                    <w:t>26. člen se spremeni tako, da se glasi:</w:t>
                  </w:r>
                </w:p>
                <w:p w14:paraId="17877E59" w14:textId="77777777" w:rsidR="0036585F" w:rsidRPr="009B421B" w:rsidRDefault="0036585F" w:rsidP="0036585F">
                  <w:pPr>
                    <w:spacing w:line="240" w:lineRule="auto"/>
                    <w:jc w:val="center"/>
                    <w:rPr>
                      <w:rFonts w:cs="Arial"/>
                      <w:szCs w:val="20"/>
                      <w:lang w:val="sl-SI" w:eastAsia="sl-SI"/>
                    </w:rPr>
                  </w:pPr>
                  <w:r w:rsidRPr="009B421B">
                    <w:rPr>
                      <w:rFonts w:cs="Arial"/>
                      <w:szCs w:val="20"/>
                      <w:lang w:val="sl-SI" w:eastAsia="sl-SI"/>
                    </w:rPr>
                    <w:t>»26. člen</w:t>
                  </w:r>
                </w:p>
                <w:p w14:paraId="4406EAB5" w14:textId="77777777" w:rsidR="0036585F" w:rsidRPr="009B421B" w:rsidRDefault="0036585F" w:rsidP="0036585F">
                  <w:pPr>
                    <w:spacing w:line="240" w:lineRule="auto"/>
                    <w:jc w:val="center"/>
                    <w:rPr>
                      <w:rFonts w:cs="Arial"/>
                      <w:szCs w:val="20"/>
                      <w:lang w:val="sl-SI" w:eastAsia="sl-SI"/>
                    </w:rPr>
                  </w:pPr>
                  <w:r w:rsidRPr="009B421B">
                    <w:rPr>
                      <w:rFonts w:cs="Arial"/>
                      <w:szCs w:val="20"/>
                      <w:lang w:val="sl-SI" w:eastAsia="sl-SI"/>
                    </w:rPr>
                    <w:t>(skupno opravljanje nalog občinske uprave)</w:t>
                  </w:r>
                </w:p>
                <w:p w14:paraId="5866FB71" w14:textId="77777777" w:rsidR="0036585F" w:rsidRPr="009B421B" w:rsidRDefault="0036585F" w:rsidP="0036585F">
                  <w:pPr>
                    <w:spacing w:line="240" w:lineRule="auto"/>
                    <w:jc w:val="center"/>
                    <w:rPr>
                      <w:rFonts w:cs="Arial"/>
                      <w:szCs w:val="20"/>
                      <w:lang w:val="sl-SI" w:eastAsia="sl-SI"/>
                    </w:rPr>
                  </w:pPr>
                </w:p>
                <w:p w14:paraId="01C90827" w14:textId="10732FDF" w:rsidR="0036585F" w:rsidRPr="009B421B" w:rsidRDefault="0036585F" w:rsidP="0036585F">
                  <w:pPr>
                    <w:spacing w:line="240" w:lineRule="auto"/>
                    <w:jc w:val="both"/>
                    <w:rPr>
                      <w:rFonts w:cs="Arial"/>
                      <w:szCs w:val="20"/>
                      <w:lang w:val="sl-SI" w:eastAsia="sl-SI"/>
                    </w:rPr>
                  </w:pPr>
                  <w:r w:rsidRPr="009B421B">
                    <w:rPr>
                      <w:rFonts w:cs="Arial"/>
                      <w:szCs w:val="20"/>
                      <w:lang w:val="sl-SI" w:eastAsia="sl-SI"/>
                    </w:rPr>
                    <w:t xml:space="preserve">(1) Občini, v kateri je sedež </w:t>
                  </w:r>
                  <w:r>
                    <w:rPr>
                      <w:rFonts w:cs="Arial"/>
                      <w:szCs w:val="20"/>
                      <w:lang w:val="sl-SI" w:eastAsia="sl-SI"/>
                    </w:rPr>
                    <w:t xml:space="preserve">organa </w:t>
                  </w:r>
                  <w:r w:rsidRPr="009B421B">
                    <w:rPr>
                      <w:rFonts w:cs="Arial"/>
                      <w:szCs w:val="20"/>
                      <w:lang w:val="sl-SI" w:eastAsia="sl-SI"/>
                    </w:rPr>
                    <w:t xml:space="preserve">skupne občinske uprave, se v tekočem letu za organizirano skupno opravljanje posameznih nalog občinske uprave v skladu z zakonom zagotavljajo dodatna sredstva iz državnega proračuna v višini </w:t>
                  </w:r>
                  <w:r w:rsidR="008750FD">
                    <w:rPr>
                      <w:rFonts w:cs="Arial"/>
                      <w:szCs w:val="20"/>
                      <w:lang w:val="sl-SI" w:eastAsia="sl-SI"/>
                    </w:rPr>
                    <w:t>5</w:t>
                  </w:r>
                  <w:r w:rsidRPr="009B421B">
                    <w:rPr>
                      <w:rFonts w:cs="Arial"/>
                      <w:szCs w:val="20"/>
                      <w:lang w:val="sl-SI" w:eastAsia="sl-SI"/>
                    </w:rPr>
                    <w:t xml:space="preserve">0 % v prejšnjem letu realiziranih odhodkov njenega proračuna za financiranje skupnih občinskih uprav, če je vključena v skupno občinsko upravo z najmanj tremi občinami in se zanjo opravljajo najmanj tri naloge. </w:t>
                  </w:r>
                </w:p>
                <w:p w14:paraId="184A7B70" w14:textId="77777777" w:rsidR="0036585F" w:rsidRPr="009B421B" w:rsidRDefault="0036585F" w:rsidP="0036585F">
                  <w:pPr>
                    <w:spacing w:line="240" w:lineRule="auto"/>
                    <w:jc w:val="both"/>
                    <w:rPr>
                      <w:rFonts w:cs="Arial"/>
                      <w:szCs w:val="20"/>
                      <w:lang w:val="sl-SI" w:eastAsia="sl-SI"/>
                    </w:rPr>
                  </w:pPr>
                </w:p>
                <w:p w14:paraId="7C6E452A" w14:textId="77777777" w:rsidR="0036585F" w:rsidRPr="009B421B" w:rsidRDefault="0036585F" w:rsidP="0036585F">
                  <w:pPr>
                    <w:spacing w:line="240" w:lineRule="auto"/>
                    <w:jc w:val="both"/>
                    <w:rPr>
                      <w:rFonts w:cs="Arial"/>
                      <w:szCs w:val="20"/>
                      <w:lang w:val="sl-SI" w:eastAsia="sl-SI"/>
                    </w:rPr>
                  </w:pPr>
                  <w:r w:rsidRPr="009B421B">
                    <w:rPr>
                      <w:rFonts w:cs="Arial"/>
                      <w:szCs w:val="20"/>
                      <w:lang w:val="sl-SI" w:eastAsia="sl-SI"/>
                    </w:rPr>
                    <w:t xml:space="preserve">(2) Sredstva se zagotavljajo za plače in druge izdatke ter prispevke delodajalca zaposlenim v skupnih občinskih upravah. </w:t>
                  </w:r>
                </w:p>
                <w:p w14:paraId="2D60460F" w14:textId="77777777" w:rsidR="0036585F" w:rsidRPr="009B421B" w:rsidRDefault="0036585F" w:rsidP="0036585F">
                  <w:pPr>
                    <w:spacing w:line="240" w:lineRule="auto"/>
                    <w:jc w:val="both"/>
                    <w:rPr>
                      <w:rFonts w:cs="Arial"/>
                      <w:szCs w:val="20"/>
                      <w:lang w:val="sl-SI" w:eastAsia="sl-SI"/>
                    </w:rPr>
                  </w:pPr>
                </w:p>
                <w:p w14:paraId="616C7335" w14:textId="77777777" w:rsidR="0036585F" w:rsidRPr="009B421B" w:rsidRDefault="0036585F" w:rsidP="0036585F">
                  <w:pPr>
                    <w:spacing w:line="240" w:lineRule="auto"/>
                    <w:jc w:val="both"/>
                    <w:rPr>
                      <w:rFonts w:cs="Arial"/>
                      <w:szCs w:val="20"/>
                      <w:lang w:val="sl-SI" w:eastAsia="sl-SI"/>
                    </w:rPr>
                  </w:pPr>
                  <w:r w:rsidRPr="009B421B">
                    <w:rPr>
                      <w:rFonts w:cs="Arial"/>
                      <w:szCs w:val="20"/>
                      <w:lang w:val="sl-SI" w:eastAsia="sl-SI"/>
                    </w:rPr>
                    <w:t xml:space="preserve">(3) </w:t>
                  </w:r>
                  <w:r>
                    <w:rPr>
                      <w:rFonts w:cs="Arial"/>
                      <w:szCs w:val="20"/>
                      <w:lang w:val="sl-SI" w:eastAsia="sl-SI"/>
                    </w:rPr>
                    <w:t>Občina iz prvega odstavka tega člena</w:t>
                  </w:r>
                  <w:r w:rsidRPr="009B421B">
                    <w:rPr>
                      <w:rFonts w:cs="Arial"/>
                      <w:szCs w:val="20"/>
                      <w:lang w:val="sl-SI" w:eastAsia="sl-SI"/>
                    </w:rPr>
                    <w:t xml:space="preserve"> vsako leto najkasneje do 31. marca,  ministrstvu, pristojnemu za lokalno samoupravo, poroča o realiziranih odhodkih proračuna sedežne občine za financiranje skupne občinske uprave iz prvega odstavka tega člena.</w:t>
                  </w:r>
                </w:p>
                <w:p w14:paraId="188C9637" w14:textId="77777777" w:rsidR="0036585F" w:rsidRPr="009B421B" w:rsidRDefault="0036585F" w:rsidP="0036585F">
                  <w:pPr>
                    <w:spacing w:line="240" w:lineRule="auto"/>
                    <w:jc w:val="both"/>
                    <w:rPr>
                      <w:rFonts w:cs="Arial"/>
                      <w:szCs w:val="20"/>
                      <w:lang w:val="sl-SI" w:eastAsia="sl-SI"/>
                    </w:rPr>
                  </w:pPr>
                </w:p>
                <w:p w14:paraId="646B8D47" w14:textId="77777777" w:rsidR="0036585F" w:rsidRPr="009B421B" w:rsidRDefault="0036585F" w:rsidP="0036585F">
                  <w:pPr>
                    <w:spacing w:line="240" w:lineRule="auto"/>
                    <w:jc w:val="both"/>
                    <w:rPr>
                      <w:rFonts w:cs="Arial"/>
                      <w:szCs w:val="20"/>
                      <w:lang w:val="sl-SI" w:eastAsia="sl-SI"/>
                    </w:rPr>
                  </w:pPr>
                  <w:r w:rsidRPr="009B421B">
                    <w:rPr>
                      <w:rFonts w:cs="Arial"/>
                      <w:szCs w:val="20"/>
                      <w:lang w:val="sl-SI" w:eastAsia="sl-SI"/>
                    </w:rPr>
                    <w:t>(4) Na predlog ministrstva, pristojnega za lokalno samoupravo, izda vlada vsako leto odločbo o višini sredstev, ki pripada</w:t>
                  </w:r>
                  <w:r>
                    <w:rPr>
                      <w:rFonts w:cs="Arial"/>
                      <w:szCs w:val="20"/>
                      <w:lang w:val="sl-SI" w:eastAsia="sl-SI"/>
                    </w:rPr>
                    <w:t>jo občinami iz prvega odstavka tega člena.</w:t>
                  </w:r>
                </w:p>
                <w:p w14:paraId="0D17B9B5" w14:textId="77777777" w:rsidR="0036585F" w:rsidRPr="009B421B" w:rsidRDefault="0036585F" w:rsidP="0036585F">
                  <w:pPr>
                    <w:spacing w:line="240" w:lineRule="auto"/>
                    <w:jc w:val="both"/>
                    <w:rPr>
                      <w:rFonts w:cs="Arial"/>
                      <w:szCs w:val="20"/>
                      <w:lang w:val="sl-SI" w:eastAsia="sl-SI"/>
                    </w:rPr>
                  </w:pPr>
                </w:p>
                <w:p w14:paraId="623C1138" w14:textId="5AA9C2A0" w:rsidR="0036585F" w:rsidRPr="009B421B" w:rsidRDefault="0036585F" w:rsidP="0036585F">
                  <w:pPr>
                    <w:spacing w:line="240" w:lineRule="auto"/>
                    <w:jc w:val="both"/>
                    <w:rPr>
                      <w:rFonts w:cs="Arial"/>
                      <w:szCs w:val="20"/>
                      <w:lang w:val="sl-SI" w:eastAsia="sl-SI"/>
                    </w:rPr>
                  </w:pPr>
                  <w:r w:rsidRPr="009B421B">
                    <w:rPr>
                      <w:rFonts w:cs="Arial"/>
                      <w:szCs w:val="20"/>
                      <w:lang w:val="sl-SI" w:eastAsia="sl-SI"/>
                    </w:rPr>
                    <w:t xml:space="preserve">(5) Če skupni zahtevek </w:t>
                  </w:r>
                  <w:r>
                    <w:rPr>
                      <w:rFonts w:cs="Arial"/>
                      <w:szCs w:val="20"/>
                      <w:lang w:val="sl-SI" w:eastAsia="sl-SI"/>
                    </w:rPr>
                    <w:t>občin iz prvega odstavka tega člena</w:t>
                  </w:r>
                  <w:r w:rsidRPr="009B421B">
                    <w:rPr>
                      <w:rFonts w:cs="Arial"/>
                      <w:szCs w:val="20"/>
                      <w:lang w:val="sl-SI" w:eastAsia="sl-SI"/>
                    </w:rPr>
                    <w:t xml:space="preserve"> za sofinanciranje skupnega opravljanja nalog občinske uprave preseže 0,</w:t>
                  </w:r>
                  <w:r w:rsidR="003327B6">
                    <w:rPr>
                      <w:rFonts w:cs="Arial"/>
                      <w:szCs w:val="20"/>
                      <w:lang w:val="sl-SI" w:eastAsia="sl-SI"/>
                    </w:rPr>
                    <w:t>7</w:t>
                  </w:r>
                  <w:r w:rsidRPr="009B421B">
                    <w:rPr>
                      <w:rFonts w:cs="Arial"/>
                      <w:szCs w:val="20"/>
                      <w:lang w:val="sl-SI" w:eastAsia="sl-SI"/>
                    </w:rPr>
                    <w:t xml:space="preserve"> % skupne primerne porabe, se sofinancira </w:t>
                  </w:r>
                  <w:r w:rsidRPr="0036585F">
                    <w:rPr>
                      <w:rFonts w:cs="Arial"/>
                      <w:szCs w:val="20"/>
                      <w:lang w:val="sl-SI" w:eastAsia="sl-SI"/>
                    </w:rPr>
                    <w:t>do 0,5 % skupne primerne porabe sorazmerno z višino zahtevka za posamezno sedežno občino.«.</w:t>
                  </w:r>
                </w:p>
                <w:p w14:paraId="649839EC" w14:textId="77777777" w:rsidR="00D4118A" w:rsidRPr="004A448A" w:rsidRDefault="00D4118A" w:rsidP="00B30F31">
                  <w:pPr>
                    <w:spacing w:line="240" w:lineRule="auto"/>
                    <w:jc w:val="both"/>
                    <w:rPr>
                      <w:rFonts w:cs="Arial"/>
                      <w:szCs w:val="20"/>
                      <w:lang w:val="sl-SI" w:eastAsia="sl-SI"/>
                    </w:rPr>
                  </w:pPr>
                </w:p>
                <w:p w14:paraId="3EF2F08C" w14:textId="77777777" w:rsidR="00D4118A" w:rsidRPr="004A448A" w:rsidRDefault="00D4118A" w:rsidP="00B30F31">
                  <w:pPr>
                    <w:spacing w:line="240" w:lineRule="auto"/>
                    <w:jc w:val="center"/>
                    <w:rPr>
                      <w:rFonts w:cs="Arial"/>
                      <w:szCs w:val="20"/>
                      <w:lang w:val="sl-SI" w:eastAsia="sl-SI"/>
                    </w:rPr>
                  </w:pPr>
                  <w:r w:rsidRPr="004A448A">
                    <w:rPr>
                      <w:rFonts w:cs="Arial"/>
                      <w:szCs w:val="20"/>
                      <w:lang w:val="sl-SI" w:eastAsia="sl-SI"/>
                    </w:rPr>
                    <w:t>PREHODNE IN KONČNE DOLOČBE</w:t>
                  </w:r>
                </w:p>
                <w:p w14:paraId="0902EE39" w14:textId="77777777" w:rsidR="00D4118A" w:rsidRPr="004A448A" w:rsidRDefault="00D4118A" w:rsidP="00B30F31">
                  <w:pPr>
                    <w:spacing w:line="240" w:lineRule="auto"/>
                    <w:jc w:val="both"/>
                    <w:rPr>
                      <w:rFonts w:cs="Arial"/>
                      <w:color w:val="FF0000"/>
                      <w:szCs w:val="20"/>
                      <w:lang w:val="sl-SI" w:eastAsia="sl-SI"/>
                    </w:rPr>
                  </w:pPr>
                </w:p>
                <w:p w14:paraId="5079BF7F" w14:textId="5B1ADBB0" w:rsidR="00D4118A" w:rsidRPr="004A448A" w:rsidRDefault="00AA3ACA" w:rsidP="00B30F31">
                  <w:pPr>
                    <w:spacing w:line="240" w:lineRule="auto"/>
                    <w:jc w:val="center"/>
                    <w:rPr>
                      <w:rFonts w:cs="Arial"/>
                      <w:szCs w:val="20"/>
                      <w:lang w:val="sl-SI" w:eastAsia="sl-SI"/>
                    </w:rPr>
                  </w:pPr>
                  <w:r>
                    <w:rPr>
                      <w:rFonts w:cs="Arial"/>
                      <w:szCs w:val="20"/>
                      <w:lang w:val="sl-SI" w:eastAsia="sl-SI"/>
                    </w:rPr>
                    <w:t>9</w:t>
                  </w:r>
                  <w:r w:rsidR="00D4118A" w:rsidRPr="004A448A">
                    <w:rPr>
                      <w:rFonts w:cs="Arial"/>
                      <w:szCs w:val="20"/>
                      <w:lang w:val="sl-SI" w:eastAsia="sl-SI"/>
                    </w:rPr>
                    <w:t>. člen</w:t>
                  </w:r>
                </w:p>
                <w:p w14:paraId="69B44D37" w14:textId="77777777" w:rsidR="00D4118A" w:rsidRPr="004A448A" w:rsidRDefault="00D4118A" w:rsidP="00B30F31">
                  <w:pPr>
                    <w:spacing w:line="240" w:lineRule="auto"/>
                    <w:jc w:val="center"/>
                    <w:rPr>
                      <w:rFonts w:cs="Arial"/>
                      <w:szCs w:val="20"/>
                      <w:lang w:val="sl-SI" w:eastAsia="sl-SI"/>
                    </w:rPr>
                  </w:pPr>
                  <w:r w:rsidRPr="004A448A">
                    <w:rPr>
                      <w:rFonts w:cs="Arial"/>
                      <w:szCs w:val="20"/>
                      <w:lang w:val="sl-SI" w:eastAsia="sl-SI"/>
                    </w:rPr>
                    <w:t>(postopki, začeti pred uveljavitvijo tega zakona)</w:t>
                  </w:r>
                </w:p>
                <w:p w14:paraId="45032E44" w14:textId="77777777" w:rsidR="00D4118A" w:rsidRPr="004A448A" w:rsidRDefault="00D4118A" w:rsidP="00B30F31">
                  <w:pPr>
                    <w:spacing w:line="240" w:lineRule="auto"/>
                    <w:jc w:val="center"/>
                    <w:rPr>
                      <w:rFonts w:cs="Arial"/>
                      <w:szCs w:val="20"/>
                      <w:lang w:val="sl-SI" w:eastAsia="sl-SI"/>
                    </w:rPr>
                  </w:pPr>
                </w:p>
                <w:p w14:paraId="2612C723" w14:textId="570ADCCF" w:rsidR="00D4118A" w:rsidRPr="004A448A" w:rsidRDefault="00D4118A" w:rsidP="00B30F31">
                  <w:pPr>
                    <w:spacing w:line="240" w:lineRule="auto"/>
                    <w:jc w:val="both"/>
                    <w:rPr>
                      <w:rFonts w:cs="Arial"/>
                      <w:szCs w:val="20"/>
                      <w:lang w:val="sl-SI" w:eastAsia="sl-SI"/>
                    </w:rPr>
                  </w:pPr>
                  <w:r w:rsidRPr="004A448A">
                    <w:rPr>
                      <w:rFonts w:cs="Arial"/>
                      <w:szCs w:val="20"/>
                      <w:lang w:val="sl-SI" w:eastAsia="sl-SI"/>
                    </w:rPr>
                    <w:t>Postopki sofinanciranja investicij</w:t>
                  </w:r>
                  <w:r w:rsidR="004F63F0" w:rsidRPr="004A448A">
                    <w:rPr>
                      <w:rFonts w:cs="Arial"/>
                      <w:szCs w:val="20"/>
                      <w:lang w:val="sl-SI" w:eastAsia="sl-SI"/>
                    </w:rPr>
                    <w:t>,</w:t>
                  </w:r>
                  <w:r w:rsidRPr="004A448A">
                    <w:rPr>
                      <w:rFonts w:cs="Arial"/>
                      <w:szCs w:val="20"/>
                      <w:lang w:val="sl-SI" w:eastAsia="sl-SI"/>
                    </w:rPr>
                    <w:t xml:space="preserve"> pri katerih se kot merilo za sofinanciranje uporablja razvitost občin iz 24. člena ZFO-1, ki so začeti pred uveljavitvijo tega zakona, se končajo po dosedanjih predpisih.</w:t>
                  </w:r>
                </w:p>
                <w:p w14:paraId="396E5ACA" w14:textId="77777777" w:rsidR="00D4118A" w:rsidRPr="004A448A" w:rsidRDefault="00D4118A" w:rsidP="00B30F31">
                  <w:pPr>
                    <w:spacing w:line="240" w:lineRule="auto"/>
                    <w:jc w:val="center"/>
                    <w:rPr>
                      <w:rFonts w:cs="Arial"/>
                      <w:szCs w:val="20"/>
                      <w:lang w:val="sl-SI" w:eastAsia="sl-SI"/>
                    </w:rPr>
                  </w:pPr>
                </w:p>
                <w:p w14:paraId="4AA69446" w14:textId="579E8B75" w:rsidR="00D4118A" w:rsidRPr="004A448A" w:rsidRDefault="00D4118A" w:rsidP="00B30F31">
                  <w:pPr>
                    <w:spacing w:line="240" w:lineRule="auto"/>
                    <w:jc w:val="center"/>
                    <w:rPr>
                      <w:rFonts w:cs="Arial"/>
                      <w:szCs w:val="20"/>
                      <w:lang w:val="sl-SI" w:eastAsia="sl-SI"/>
                    </w:rPr>
                  </w:pPr>
                  <w:r w:rsidRPr="004A448A">
                    <w:rPr>
                      <w:rFonts w:cs="Arial"/>
                      <w:szCs w:val="20"/>
                      <w:lang w:val="sl-SI" w:eastAsia="sl-SI"/>
                    </w:rPr>
                    <w:t>1</w:t>
                  </w:r>
                  <w:r w:rsidR="00206B0A">
                    <w:rPr>
                      <w:rFonts w:cs="Arial"/>
                      <w:szCs w:val="20"/>
                      <w:lang w:val="sl-SI" w:eastAsia="sl-SI"/>
                    </w:rPr>
                    <w:t>0</w:t>
                  </w:r>
                  <w:r w:rsidRPr="004A448A">
                    <w:rPr>
                      <w:rFonts w:cs="Arial"/>
                      <w:szCs w:val="20"/>
                      <w:lang w:val="sl-SI" w:eastAsia="sl-SI"/>
                    </w:rPr>
                    <w:t>. člen</w:t>
                  </w:r>
                </w:p>
                <w:p w14:paraId="73931D97" w14:textId="77777777" w:rsidR="00D4118A" w:rsidRPr="004A448A" w:rsidRDefault="00D4118A" w:rsidP="00B30F31">
                  <w:pPr>
                    <w:spacing w:line="240" w:lineRule="auto"/>
                    <w:jc w:val="center"/>
                    <w:rPr>
                      <w:rFonts w:cs="Arial"/>
                      <w:szCs w:val="20"/>
                      <w:lang w:val="sl-SI" w:eastAsia="sl-SI"/>
                    </w:rPr>
                  </w:pPr>
                  <w:r w:rsidRPr="004A448A">
                    <w:rPr>
                      <w:rFonts w:cs="Arial"/>
                      <w:szCs w:val="20"/>
                      <w:lang w:val="sl-SI" w:eastAsia="sl-SI"/>
                    </w:rPr>
                    <w:t>(prenehanje veljavnosti podzakonskih predpisov)</w:t>
                  </w:r>
                </w:p>
                <w:p w14:paraId="6DE313BA" w14:textId="77777777" w:rsidR="00D4118A" w:rsidRPr="004A448A" w:rsidRDefault="00D4118A" w:rsidP="00B30F31">
                  <w:pPr>
                    <w:spacing w:line="240" w:lineRule="auto"/>
                    <w:jc w:val="both"/>
                    <w:rPr>
                      <w:rFonts w:cs="Arial"/>
                      <w:szCs w:val="20"/>
                      <w:lang w:val="sl-SI" w:eastAsia="sl-SI"/>
                    </w:rPr>
                  </w:pPr>
                </w:p>
                <w:p w14:paraId="3B78B9BC" w14:textId="77777777" w:rsidR="00D4118A" w:rsidRPr="004A448A" w:rsidRDefault="00D4118A" w:rsidP="00B30F31">
                  <w:pPr>
                    <w:spacing w:line="240" w:lineRule="auto"/>
                    <w:jc w:val="both"/>
                    <w:rPr>
                      <w:rFonts w:cs="Arial"/>
                      <w:szCs w:val="20"/>
                      <w:lang w:val="sl-SI" w:eastAsia="sl-SI"/>
                    </w:rPr>
                  </w:pPr>
                  <w:r w:rsidRPr="004A448A">
                    <w:rPr>
                      <w:rFonts w:cs="Arial"/>
                      <w:szCs w:val="20"/>
                      <w:lang w:val="sl-SI" w:eastAsia="sl-SI"/>
                    </w:rPr>
                    <w:t>Z dnem uveljavitve tega zakona preneha veljati Pravilnik o izvajanju sofinanciranja skupnega opravljanja posameznih nalog občinske uprave (Uradni list RS, št. 36/18 in 2/20).</w:t>
                  </w:r>
                </w:p>
                <w:p w14:paraId="217A422E" w14:textId="77777777" w:rsidR="00D4118A" w:rsidRPr="004A448A" w:rsidRDefault="00D4118A" w:rsidP="00B30F31">
                  <w:pPr>
                    <w:spacing w:line="240" w:lineRule="auto"/>
                    <w:jc w:val="center"/>
                    <w:rPr>
                      <w:rFonts w:cs="Arial"/>
                      <w:szCs w:val="20"/>
                      <w:lang w:val="sl-SI" w:eastAsia="sl-SI"/>
                    </w:rPr>
                  </w:pPr>
                </w:p>
                <w:p w14:paraId="6A49B33A" w14:textId="7858FBCA" w:rsidR="00D4118A" w:rsidRPr="004A448A" w:rsidRDefault="00D4118A" w:rsidP="00B30F31">
                  <w:pPr>
                    <w:spacing w:line="240" w:lineRule="auto"/>
                    <w:jc w:val="center"/>
                    <w:rPr>
                      <w:rFonts w:cs="Arial"/>
                      <w:szCs w:val="20"/>
                      <w:lang w:val="sl-SI" w:eastAsia="sl-SI"/>
                    </w:rPr>
                  </w:pPr>
                  <w:r w:rsidRPr="004A448A">
                    <w:rPr>
                      <w:rFonts w:cs="Arial"/>
                      <w:szCs w:val="20"/>
                      <w:lang w:val="sl-SI" w:eastAsia="sl-SI"/>
                    </w:rPr>
                    <w:t>1</w:t>
                  </w:r>
                  <w:r w:rsidR="00206B0A">
                    <w:rPr>
                      <w:rFonts w:cs="Arial"/>
                      <w:szCs w:val="20"/>
                      <w:lang w:val="sl-SI" w:eastAsia="sl-SI"/>
                    </w:rPr>
                    <w:t>1</w:t>
                  </w:r>
                  <w:r w:rsidRPr="004A448A">
                    <w:rPr>
                      <w:rFonts w:cs="Arial"/>
                      <w:szCs w:val="20"/>
                      <w:lang w:val="sl-SI" w:eastAsia="sl-SI"/>
                    </w:rPr>
                    <w:t>. člen</w:t>
                  </w:r>
                </w:p>
                <w:p w14:paraId="286DB414" w14:textId="77777777" w:rsidR="00D4118A" w:rsidRPr="004A448A" w:rsidRDefault="00D4118A" w:rsidP="00B30F31">
                  <w:pPr>
                    <w:spacing w:line="240" w:lineRule="auto"/>
                    <w:jc w:val="center"/>
                    <w:rPr>
                      <w:rFonts w:cs="Arial"/>
                      <w:szCs w:val="20"/>
                      <w:lang w:val="sl-SI" w:eastAsia="sl-SI"/>
                    </w:rPr>
                  </w:pPr>
                  <w:r w:rsidRPr="004A448A">
                    <w:rPr>
                      <w:rFonts w:cs="Arial"/>
                      <w:szCs w:val="20"/>
                      <w:lang w:val="sl-SI" w:eastAsia="sl-SI"/>
                    </w:rPr>
                    <w:t>(rok za izdajo podzakonskih predpisov)</w:t>
                  </w:r>
                </w:p>
                <w:p w14:paraId="13A22E59" w14:textId="77777777" w:rsidR="00D4118A" w:rsidRPr="004A448A" w:rsidRDefault="00D4118A" w:rsidP="00B30F31">
                  <w:pPr>
                    <w:spacing w:line="240" w:lineRule="auto"/>
                    <w:jc w:val="center"/>
                    <w:rPr>
                      <w:rFonts w:cs="Arial"/>
                      <w:szCs w:val="20"/>
                      <w:lang w:val="sl-SI" w:eastAsia="sl-SI"/>
                    </w:rPr>
                  </w:pPr>
                </w:p>
                <w:p w14:paraId="62945BF6" w14:textId="09A910D9" w:rsidR="001B7AC3" w:rsidRPr="004A448A" w:rsidRDefault="00A34E0C" w:rsidP="00A34E0C">
                  <w:pPr>
                    <w:pStyle w:val="Odstavekseznama"/>
                    <w:spacing w:line="240" w:lineRule="auto"/>
                    <w:ind w:left="-68"/>
                    <w:jc w:val="both"/>
                    <w:rPr>
                      <w:rFonts w:ascii="Arial" w:hAnsi="Arial" w:cs="Arial"/>
                      <w:sz w:val="20"/>
                      <w:szCs w:val="20"/>
                      <w:lang w:eastAsia="sl-SI"/>
                    </w:rPr>
                  </w:pPr>
                  <w:r w:rsidRPr="004A448A">
                    <w:rPr>
                      <w:rFonts w:ascii="Arial" w:hAnsi="Arial" w:cs="Arial"/>
                      <w:sz w:val="20"/>
                      <w:szCs w:val="20"/>
                      <w:lang w:eastAsia="sl-SI"/>
                    </w:rPr>
                    <w:t xml:space="preserve">(1) </w:t>
                  </w:r>
                  <w:r w:rsidR="00D4118A" w:rsidRPr="004A448A">
                    <w:rPr>
                      <w:rFonts w:ascii="Arial" w:hAnsi="Arial" w:cs="Arial"/>
                      <w:sz w:val="20"/>
                      <w:szCs w:val="20"/>
                      <w:lang w:eastAsia="sl-SI"/>
                    </w:rPr>
                    <w:t xml:space="preserve">Vlada najpozneje v treh mesecih od uveljavitve tega zakona izda podzakonske predpise iz </w:t>
                  </w:r>
                  <w:r w:rsidR="00206B0A">
                    <w:rPr>
                      <w:rFonts w:ascii="Arial" w:hAnsi="Arial" w:cs="Arial"/>
                      <w:sz w:val="20"/>
                      <w:szCs w:val="20"/>
                      <w:lang w:eastAsia="sl-SI"/>
                    </w:rPr>
                    <w:t xml:space="preserve">5. in </w:t>
                  </w:r>
                  <w:r w:rsidR="00C543FC" w:rsidRPr="004A448A">
                    <w:rPr>
                      <w:rFonts w:ascii="Arial" w:hAnsi="Arial" w:cs="Arial"/>
                      <w:sz w:val="20"/>
                      <w:szCs w:val="20"/>
                      <w:lang w:eastAsia="sl-SI"/>
                    </w:rPr>
                    <w:t>6</w:t>
                  </w:r>
                  <w:r w:rsidR="00D4118A" w:rsidRPr="004A448A">
                    <w:rPr>
                      <w:rFonts w:ascii="Arial" w:hAnsi="Arial" w:cs="Arial"/>
                      <w:sz w:val="20"/>
                      <w:szCs w:val="20"/>
                      <w:lang w:eastAsia="sl-SI"/>
                    </w:rPr>
                    <w:t>. člena tega zakona.</w:t>
                  </w:r>
                </w:p>
                <w:p w14:paraId="1EB68784" w14:textId="77777777" w:rsidR="00A34E0C" w:rsidRPr="004A448A" w:rsidRDefault="00A34E0C" w:rsidP="00A34E0C">
                  <w:pPr>
                    <w:pStyle w:val="Odstavekseznama"/>
                    <w:spacing w:line="240" w:lineRule="auto"/>
                    <w:ind w:left="-68"/>
                    <w:jc w:val="both"/>
                    <w:rPr>
                      <w:rFonts w:ascii="Arial" w:hAnsi="Arial" w:cs="Arial"/>
                      <w:sz w:val="20"/>
                      <w:szCs w:val="20"/>
                    </w:rPr>
                  </w:pPr>
                </w:p>
                <w:p w14:paraId="2DA545F6" w14:textId="59013762" w:rsidR="001B7AC3" w:rsidRPr="004A448A" w:rsidRDefault="00A34E0C" w:rsidP="00A34E0C">
                  <w:pPr>
                    <w:pStyle w:val="Odstavekseznama"/>
                    <w:spacing w:line="240" w:lineRule="auto"/>
                    <w:ind w:left="-68"/>
                    <w:jc w:val="both"/>
                    <w:rPr>
                      <w:rFonts w:ascii="Arial" w:hAnsi="Arial" w:cs="Arial"/>
                      <w:sz w:val="20"/>
                      <w:szCs w:val="20"/>
                      <w:lang w:eastAsia="sl-SI"/>
                    </w:rPr>
                  </w:pPr>
                  <w:r w:rsidRPr="004A448A">
                    <w:rPr>
                      <w:rFonts w:ascii="Arial" w:hAnsi="Arial" w:cs="Arial"/>
                      <w:sz w:val="20"/>
                      <w:szCs w:val="20"/>
                    </w:rPr>
                    <w:t xml:space="preserve">(2) </w:t>
                  </w:r>
                  <w:r w:rsidR="001B7AC3" w:rsidRPr="004A448A">
                    <w:rPr>
                      <w:rFonts w:ascii="Arial" w:hAnsi="Arial" w:cs="Arial"/>
                      <w:sz w:val="20"/>
                      <w:szCs w:val="20"/>
                    </w:rPr>
                    <w:t>Minister, pristojen za finance, izda predpis iz 1. člena tega zakona v treh mesecih od uveljavitve tega zakona.</w:t>
                  </w:r>
                </w:p>
                <w:p w14:paraId="6E88244E" w14:textId="5F4FE082" w:rsidR="00D4118A" w:rsidRPr="004A448A" w:rsidRDefault="00D4118A" w:rsidP="00B30F31">
                  <w:pPr>
                    <w:spacing w:line="240" w:lineRule="auto"/>
                    <w:jc w:val="center"/>
                    <w:rPr>
                      <w:rFonts w:cs="Arial"/>
                      <w:szCs w:val="20"/>
                      <w:lang w:val="sl-SI" w:eastAsia="sl-SI"/>
                    </w:rPr>
                  </w:pPr>
                  <w:bookmarkStart w:id="3" w:name="_Hlk84403247"/>
                  <w:bookmarkEnd w:id="2"/>
                  <w:r w:rsidRPr="004A448A">
                    <w:rPr>
                      <w:rFonts w:cs="Arial"/>
                      <w:szCs w:val="20"/>
                      <w:lang w:val="sl-SI" w:eastAsia="sl-SI"/>
                    </w:rPr>
                    <w:t>1</w:t>
                  </w:r>
                  <w:r w:rsidR="00206B0A">
                    <w:rPr>
                      <w:rFonts w:cs="Arial"/>
                      <w:szCs w:val="20"/>
                      <w:lang w:val="sl-SI" w:eastAsia="sl-SI"/>
                    </w:rPr>
                    <w:t>2</w:t>
                  </w:r>
                  <w:r w:rsidRPr="004A448A">
                    <w:rPr>
                      <w:rFonts w:cs="Arial"/>
                      <w:szCs w:val="20"/>
                      <w:lang w:val="sl-SI" w:eastAsia="sl-SI"/>
                    </w:rPr>
                    <w:t>. člen</w:t>
                  </w:r>
                </w:p>
                <w:p w14:paraId="77E5B912" w14:textId="77777777" w:rsidR="00D4118A" w:rsidRPr="004A448A" w:rsidRDefault="00D4118A" w:rsidP="00B30F31">
                  <w:pPr>
                    <w:spacing w:line="240" w:lineRule="auto"/>
                    <w:jc w:val="center"/>
                    <w:rPr>
                      <w:rFonts w:cs="Arial"/>
                      <w:szCs w:val="20"/>
                      <w:lang w:val="sl-SI" w:eastAsia="sl-SI"/>
                    </w:rPr>
                  </w:pPr>
                  <w:r w:rsidRPr="004A448A">
                    <w:rPr>
                      <w:rFonts w:cs="Arial"/>
                      <w:szCs w:val="20"/>
                      <w:lang w:val="sl-SI" w:eastAsia="sl-SI"/>
                    </w:rPr>
                    <w:t>(začetek veljavnosti in uporabe)</w:t>
                  </w:r>
                </w:p>
                <w:p w14:paraId="42F9E7BE" w14:textId="77777777" w:rsidR="00D4118A" w:rsidRPr="004A448A" w:rsidRDefault="00D4118A" w:rsidP="00B30F31">
                  <w:pPr>
                    <w:spacing w:line="240" w:lineRule="auto"/>
                    <w:jc w:val="center"/>
                    <w:rPr>
                      <w:rFonts w:cs="Arial"/>
                      <w:szCs w:val="20"/>
                      <w:lang w:val="sl-SI" w:eastAsia="sl-SI"/>
                    </w:rPr>
                  </w:pPr>
                </w:p>
                <w:bookmarkEnd w:id="3"/>
                <w:p w14:paraId="083C35C6" w14:textId="77777777" w:rsidR="00D4118A" w:rsidRPr="004A448A" w:rsidRDefault="00D4118A" w:rsidP="00B30F31">
                  <w:pPr>
                    <w:spacing w:line="240" w:lineRule="auto"/>
                    <w:jc w:val="both"/>
                    <w:rPr>
                      <w:rFonts w:cs="Arial"/>
                      <w:szCs w:val="20"/>
                      <w:lang w:val="sl-SI" w:eastAsia="sl-SI"/>
                    </w:rPr>
                  </w:pPr>
                  <w:r w:rsidRPr="004A448A">
                    <w:rPr>
                      <w:rFonts w:cs="Arial"/>
                      <w:szCs w:val="20"/>
                      <w:lang w:val="sl-SI" w:eastAsia="sl-SI"/>
                    </w:rPr>
                    <w:t>Ta zakon začne veljati petnajsti dan po objavi v Uradnem listu Republike Slovenije, uporabljati pa se začne 1. januarja 2025.</w:t>
                  </w:r>
                </w:p>
                <w:p w14:paraId="08E7A6EE" w14:textId="77777777" w:rsidR="00D4118A" w:rsidRPr="004A448A" w:rsidRDefault="00D4118A" w:rsidP="00B30F31">
                  <w:pPr>
                    <w:suppressAutoHyphens/>
                    <w:overflowPunct w:val="0"/>
                    <w:autoSpaceDE w:val="0"/>
                    <w:autoSpaceDN w:val="0"/>
                    <w:adjustRightInd w:val="0"/>
                    <w:textAlignment w:val="baseline"/>
                    <w:outlineLvl w:val="3"/>
                    <w:rPr>
                      <w:rFonts w:cs="Arial"/>
                      <w:b/>
                      <w:szCs w:val="20"/>
                      <w:lang w:val="sl-SI" w:eastAsia="sl-SI"/>
                    </w:rPr>
                  </w:pPr>
                </w:p>
                <w:p w14:paraId="39FB9C34" w14:textId="77777777" w:rsidR="00D4118A" w:rsidRPr="004A448A" w:rsidRDefault="00D4118A" w:rsidP="00B30F31">
                  <w:pPr>
                    <w:suppressAutoHyphens/>
                    <w:overflowPunct w:val="0"/>
                    <w:autoSpaceDE w:val="0"/>
                    <w:autoSpaceDN w:val="0"/>
                    <w:adjustRightInd w:val="0"/>
                    <w:textAlignment w:val="baseline"/>
                    <w:outlineLvl w:val="3"/>
                    <w:rPr>
                      <w:rFonts w:cs="Arial"/>
                      <w:b/>
                      <w:szCs w:val="20"/>
                      <w:lang w:val="sl-SI" w:eastAsia="sl-SI"/>
                    </w:rPr>
                  </w:pPr>
                </w:p>
                <w:p w14:paraId="04A44306" w14:textId="77777777" w:rsidR="00D4118A" w:rsidRPr="004A448A" w:rsidRDefault="00D4118A" w:rsidP="00B30F31">
                  <w:pPr>
                    <w:suppressAutoHyphens/>
                    <w:overflowPunct w:val="0"/>
                    <w:autoSpaceDE w:val="0"/>
                    <w:autoSpaceDN w:val="0"/>
                    <w:adjustRightInd w:val="0"/>
                    <w:textAlignment w:val="baseline"/>
                    <w:outlineLvl w:val="3"/>
                    <w:rPr>
                      <w:rFonts w:cs="Arial"/>
                      <w:b/>
                      <w:szCs w:val="20"/>
                      <w:lang w:val="sl-SI" w:eastAsia="sl-SI"/>
                    </w:rPr>
                  </w:pPr>
                </w:p>
                <w:p w14:paraId="58A14CB5" w14:textId="77777777" w:rsidR="00D4118A" w:rsidRPr="004A448A" w:rsidRDefault="00D4118A" w:rsidP="00B30F31">
                  <w:pPr>
                    <w:suppressAutoHyphens/>
                    <w:overflowPunct w:val="0"/>
                    <w:autoSpaceDE w:val="0"/>
                    <w:autoSpaceDN w:val="0"/>
                    <w:adjustRightInd w:val="0"/>
                    <w:textAlignment w:val="baseline"/>
                    <w:outlineLvl w:val="3"/>
                    <w:rPr>
                      <w:rFonts w:cs="Arial"/>
                      <w:bCs/>
                      <w:szCs w:val="20"/>
                      <w:lang w:val="sl-SI" w:eastAsia="sl-SI"/>
                    </w:rPr>
                  </w:pPr>
                  <w:r w:rsidRPr="004A448A">
                    <w:rPr>
                      <w:rFonts w:cs="Arial"/>
                      <w:b/>
                      <w:szCs w:val="20"/>
                      <w:lang w:val="sl-SI" w:eastAsia="sl-SI"/>
                    </w:rPr>
                    <w:t>III. OBRAZLOŽITEV</w:t>
                  </w:r>
                </w:p>
                <w:p w14:paraId="3F089226" w14:textId="77777777" w:rsidR="00D4118A" w:rsidRPr="004A448A" w:rsidRDefault="00D4118A" w:rsidP="00B30F31">
                  <w:pPr>
                    <w:suppressAutoHyphens/>
                    <w:overflowPunct w:val="0"/>
                    <w:autoSpaceDE w:val="0"/>
                    <w:autoSpaceDN w:val="0"/>
                    <w:adjustRightInd w:val="0"/>
                    <w:textAlignment w:val="baseline"/>
                    <w:outlineLvl w:val="3"/>
                    <w:rPr>
                      <w:rFonts w:cs="Arial"/>
                      <w:bCs/>
                      <w:szCs w:val="20"/>
                      <w:lang w:val="sl-SI" w:eastAsia="sl-SI"/>
                    </w:rPr>
                  </w:pPr>
                </w:p>
                <w:p w14:paraId="46DB7FD7" w14:textId="77777777" w:rsidR="00D4118A" w:rsidRPr="004A448A" w:rsidRDefault="00D4118A" w:rsidP="00B30F31">
                  <w:pPr>
                    <w:spacing w:line="240" w:lineRule="auto"/>
                    <w:jc w:val="both"/>
                    <w:rPr>
                      <w:rFonts w:cs="Arial"/>
                      <w:b/>
                      <w:szCs w:val="20"/>
                      <w:lang w:val="sl-SI"/>
                    </w:rPr>
                  </w:pPr>
                  <w:r w:rsidRPr="004A448A">
                    <w:rPr>
                      <w:rFonts w:cs="Arial"/>
                      <w:b/>
                      <w:szCs w:val="20"/>
                      <w:lang w:val="sl-SI"/>
                    </w:rPr>
                    <w:t>K 1. členu</w:t>
                  </w:r>
                </w:p>
                <w:p w14:paraId="6DC4323F" w14:textId="77777777" w:rsidR="00D4118A" w:rsidRPr="004A448A" w:rsidRDefault="00D4118A" w:rsidP="00B30F31">
                  <w:pPr>
                    <w:jc w:val="both"/>
                    <w:rPr>
                      <w:rFonts w:cs="Arial"/>
                      <w:color w:val="000000"/>
                      <w:szCs w:val="20"/>
                      <w:lang w:val="sl-SI"/>
                    </w:rPr>
                  </w:pPr>
                  <w:r w:rsidRPr="004A448A">
                    <w:rPr>
                      <w:rFonts w:cs="Arial"/>
                      <w:color w:val="000000"/>
                      <w:szCs w:val="20"/>
                      <w:lang w:val="sl-SI"/>
                    </w:rPr>
                    <w:t>S predlaganim členom je določena pravna podlaga za zadolževanje občin za infrastrukturne projekte, ki jih imajo vključene v občinske proračune, tudi pri mednarodnih razvojnih bankah, v katerih je članica Republika Slovenija in sicer gre za Evropsko banko za obnovo in razvoj (EBRD), Evropsko investicijsko banko (EIB) in Razvojno banko Sveta Evrope (CEB). Vse navedene banke izvajajo posle v Sloveniji in vse navedene banke imajo v svojih politikah izvajanje financiranja infrastrukture, ki je v velikem delu v občinski lasti, občine pa se v okviru trenutno veljavne zakonodaje pri njih ne morejo zadolžiti, zadolžujejo pa se lahko na primer pri Stanovanjskem skladu RS ali pri SID banki, ki pa sta tudi obe klienta na primer CEB. Omenjeni člen omogoča občinam tudi zadolževanje občin prek izdaje občinskih obveznic.</w:t>
                  </w:r>
                </w:p>
                <w:p w14:paraId="1AC87E3F" w14:textId="77777777" w:rsidR="00D4118A" w:rsidRPr="004A448A" w:rsidRDefault="00D4118A" w:rsidP="00B30F31">
                  <w:pPr>
                    <w:jc w:val="both"/>
                    <w:rPr>
                      <w:rFonts w:cs="Arial"/>
                      <w:color w:val="000000"/>
                      <w:szCs w:val="20"/>
                      <w:lang w:val="sl-SI"/>
                    </w:rPr>
                  </w:pPr>
                </w:p>
                <w:p w14:paraId="189FE4F8" w14:textId="7C71E8C6" w:rsidR="00D4118A" w:rsidRPr="004A448A" w:rsidRDefault="00D4118A" w:rsidP="00B30F31">
                  <w:pPr>
                    <w:jc w:val="both"/>
                    <w:rPr>
                      <w:rFonts w:cs="Arial"/>
                      <w:color w:val="000000"/>
                      <w:szCs w:val="20"/>
                      <w:lang w:val="sl-SI"/>
                    </w:rPr>
                  </w:pPr>
                  <w:r w:rsidRPr="004A448A">
                    <w:rPr>
                      <w:rFonts w:cs="Arial"/>
                      <w:color w:val="000000"/>
                      <w:szCs w:val="20"/>
                      <w:lang w:val="sl-SI"/>
                    </w:rPr>
                    <w:t>S črtanjem besede posojila v šestem odstavku je predhodna pridobitev soglasja ministra, pristojnega za finance določena za vsako zadolževanje v katerem črpanje in odplačilo nista v istem proračunskem letu.</w:t>
                  </w:r>
                </w:p>
                <w:p w14:paraId="38FBF0B0" w14:textId="3652EFF2" w:rsidR="00F33976" w:rsidRPr="004A448A" w:rsidRDefault="00F33976" w:rsidP="00B30F31">
                  <w:pPr>
                    <w:jc w:val="both"/>
                    <w:rPr>
                      <w:rFonts w:cs="Arial"/>
                      <w:color w:val="000000"/>
                      <w:szCs w:val="20"/>
                      <w:lang w:val="sl-SI"/>
                    </w:rPr>
                  </w:pPr>
                </w:p>
                <w:p w14:paraId="26CBD52E" w14:textId="49C859DB" w:rsidR="00F33976" w:rsidRPr="004A448A" w:rsidRDefault="00F33976" w:rsidP="00B30F31">
                  <w:pPr>
                    <w:jc w:val="both"/>
                    <w:rPr>
                      <w:rFonts w:cs="Arial"/>
                      <w:color w:val="000000"/>
                      <w:szCs w:val="20"/>
                      <w:lang w:val="sl-SI"/>
                    </w:rPr>
                  </w:pPr>
                  <w:r w:rsidRPr="004A448A">
                    <w:rPr>
                      <w:rFonts w:cs="Arial"/>
                      <w:color w:val="000000"/>
                      <w:szCs w:val="20"/>
                      <w:lang w:val="sl-SI"/>
                    </w:rPr>
                    <w:t>S sedmim odstavkom se predvidi izdaja podzakonskega akta, s katerim se bo podrobneje prepisalo način in postopke za izdajo občinskih obveznic.</w:t>
                  </w:r>
                </w:p>
                <w:p w14:paraId="491FCCC5" w14:textId="77777777" w:rsidR="00D4118A" w:rsidRPr="004A448A" w:rsidRDefault="00D4118A" w:rsidP="00B30F31">
                  <w:pPr>
                    <w:spacing w:line="240" w:lineRule="auto"/>
                    <w:jc w:val="both"/>
                    <w:rPr>
                      <w:rFonts w:cs="Arial"/>
                      <w:b/>
                      <w:szCs w:val="20"/>
                      <w:lang w:val="sl-SI"/>
                    </w:rPr>
                  </w:pPr>
                </w:p>
                <w:p w14:paraId="63FF70C4" w14:textId="77777777" w:rsidR="00D4118A" w:rsidRPr="004A448A" w:rsidRDefault="00D4118A" w:rsidP="00B30F31">
                  <w:pPr>
                    <w:spacing w:line="240" w:lineRule="auto"/>
                    <w:jc w:val="both"/>
                    <w:rPr>
                      <w:rFonts w:cs="Arial"/>
                      <w:b/>
                      <w:szCs w:val="20"/>
                      <w:lang w:val="sl-SI"/>
                    </w:rPr>
                  </w:pPr>
                  <w:r w:rsidRPr="004A448A">
                    <w:rPr>
                      <w:rFonts w:cs="Arial"/>
                      <w:b/>
                      <w:szCs w:val="20"/>
                      <w:lang w:val="sl-SI"/>
                    </w:rPr>
                    <w:t>K 2. členu</w:t>
                  </w:r>
                </w:p>
                <w:p w14:paraId="5995E8D1" w14:textId="6D107C8A" w:rsidR="00D4118A" w:rsidRPr="004A448A" w:rsidRDefault="00D4118A" w:rsidP="00B30F31">
                  <w:pPr>
                    <w:spacing w:line="240" w:lineRule="auto"/>
                    <w:jc w:val="both"/>
                    <w:rPr>
                      <w:rFonts w:cs="Arial"/>
                      <w:bCs/>
                      <w:szCs w:val="20"/>
                      <w:lang w:val="sl-SI"/>
                    </w:rPr>
                  </w:pPr>
                  <w:r w:rsidRPr="004A448A">
                    <w:rPr>
                      <w:rFonts w:cs="Arial"/>
                      <w:bCs/>
                      <w:szCs w:val="20"/>
                      <w:lang w:val="sl-SI"/>
                    </w:rPr>
                    <w:t xml:space="preserve">S predlagano spremembo se zvišuje največji obseg možnega zadolževanja občine iz 10 % na 15% in sicer se bodo lahko občine v tekočem proračunskem letu lahko zadolžile, če odplačilo obveznosti iz naslova posojil (glavnice in obresti), finančnih najemov in blagovnih kreditov (obrokov) ter potencialnih obveznosti iz naslova izdanih poroštev za izpolnitev obveznosti posrednih proračunskih uporabnikov in javnih podjetij, katerih ustanoviteljica je občina, v posameznem letu odplačila ne preseže 15 % realiziranih prihodkov iz bilance prihodkov in odhodkov občinskega proračuna v letu pred letom zadolževanja, zmanjšanih za prejete donacije, transferne prihodke iz državnega proračuna za investicije in prejeta sredstva iz proračuna Evropske unije ter prihodke režijskih obratov. S predlagano spremembo se </w:t>
                  </w:r>
                  <w:r w:rsidR="00421B32" w:rsidRPr="004A448A">
                    <w:rPr>
                      <w:rFonts w:cs="Arial"/>
                      <w:bCs/>
                      <w:szCs w:val="20"/>
                      <w:lang w:val="sl-SI"/>
                    </w:rPr>
                    <w:t xml:space="preserve">začasni </w:t>
                  </w:r>
                  <w:r w:rsidRPr="004A448A">
                    <w:rPr>
                      <w:rFonts w:cs="Arial"/>
                      <w:bCs/>
                      <w:szCs w:val="20"/>
                      <w:lang w:val="sl-SI"/>
                    </w:rPr>
                    <w:t>ukrep, ki ga je uvedel 17. člen Zakona o interventnih ukrepih za odpravo posledic poplav in zemeljskih plazov iz avgusta 2023 (Uradni list RS, št. 95/23) spremenil v trajni ukrep.</w:t>
                  </w:r>
                </w:p>
                <w:p w14:paraId="67117D0E" w14:textId="77777777" w:rsidR="00D4118A" w:rsidRPr="004A448A" w:rsidRDefault="00D4118A" w:rsidP="00B30F31">
                  <w:pPr>
                    <w:spacing w:line="240" w:lineRule="auto"/>
                    <w:jc w:val="both"/>
                    <w:rPr>
                      <w:rFonts w:cs="Arial"/>
                      <w:bCs/>
                      <w:szCs w:val="20"/>
                      <w:lang w:val="sl-SI"/>
                    </w:rPr>
                  </w:pPr>
                </w:p>
                <w:p w14:paraId="24F767D7" w14:textId="46E16074" w:rsidR="00D4118A" w:rsidRPr="004A448A" w:rsidRDefault="00D4118A" w:rsidP="00B30F31">
                  <w:pPr>
                    <w:spacing w:line="240" w:lineRule="auto"/>
                    <w:jc w:val="both"/>
                    <w:rPr>
                      <w:rFonts w:cs="Arial"/>
                      <w:bCs/>
                      <w:szCs w:val="20"/>
                      <w:lang w:val="sl-SI"/>
                    </w:rPr>
                  </w:pPr>
                  <w:r w:rsidRPr="004A448A">
                    <w:rPr>
                      <w:rFonts w:cs="Arial"/>
                      <w:bCs/>
                      <w:szCs w:val="20"/>
                      <w:lang w:val="sl-SI"/>
                    </w:rPr>
                    <w:t>Z novim tretjim</w:t>
                  </w:r>
                  <w:r w:rsidR="00A34E0C" w:rsidRPr="004A448A">
                    <w:rPr>
                      <w:rFonts w:cs="Arial"/>
                      <w:bCs/>
                      <w:szCs w:val="20"/>
                      <w:lang w:val="sl-SI"/>
                    </w:rPr>
                    <w:t xml:space="preserve">, </w:t>
                  </w:r>
                  <w:r w:rsidRPr="004A448A">
                    <w:rPr>
                      <w:rFonts w:cs="Arial"/>
                      <w:bCs/>
                      <w:szCs w:val="20"/>
                      <w:lang w:val="sl-SI"/>
                    </w:rPr>
                    <w:t>četrtim</w:t>
                  </w:r>
                  <w:r w:rsidR="00A34E0C" w:rsidRPr="004A448A">
                    <w:rPr>
                      <w:rFonts w:cs="Arial"/>
                      <w:bCs/>
                      <w:szCs w:val="20"/>
                      <w:lang w:val="sl-SI"/>
                    </w:rPr>
                    <w:t>, petim in šestim</w:t>
                  </w:r>
                  <w:r w:rsidRPr="004A448A">
                    <w:rPr>
                      <w:rFonts w:cs="Arial"/>
                      <w:bCs/>
                      <w:szCs w:val="20"/>
                      <w:lang w:val="sl-SI"/>
                    </w:rPr>
                    <w:t xml:space="preserve"> odstavkom </w:t>
                  </w:r>
                  <w:proofErr w:type="spellStart"/>
                  <w:r w:rsidRPr="004A448A">
                    <w:rPr>
                      <w:rFonts w:cs="Arial"/>
                      <w:bCs/>
                      <w:szCs w:val="20"/>
                      <w:lang w:val="sl-SI"/>
                    </w:rPr>
                    <w:t>10.b</w:t>
                  </w:r>
                  <w:proofErr w:type="spellEnd"/>
                  <w:r w:rsidRPr="004A448A">
                    <w:rPr>
                      <w:rFonts w:cs="Arial"/>
                      <w:bCs/>
                      <w:szCs w:val="20"/>
                      <w:lang w:val="sl-SI"/>
                    </w:rPr>
                    <w:t xml:space="preserve"> člena ZFO-1 se uvaja nov  - sanacijski postopek v primerih, ko bi </w:t>
                  </w:r>
                  <w:r w:rsidR="00496203" w:rsidRPr="004A448A">
                    <w:rPr>
                      <w:rFonts w:cs="Arial"/>
                      <w:bCs/>
                      <w:szCs w:val="20"/>
                      <w:lang w:val="sl-SI"/>
                    </w:rPr>
                    <w:t xml:space="preserve">bila </w:t>
                  </w:r>
                  <w:r w:rsidRPr="004A448A">
                    <w:rPr>
                      <w:rFonts w:cs="Arial"/>
                      <w:bCs/>
                      <w:szCs w:val="20"/>
                      <w:lang w:val="sl-SI"/>
                    </w:rPr>
                    <w:t>občin</w:t>
                  </w:r>
                  <w:r w:rsidR="00496203" w:rsidRPr="004A448A">
                    <w:rPr>
                      <w:rFonts w:cs="Arial"/>
                      <w:bCs/>
                      <w:szCs w:val="20"/>
                      <w:lang w:val="sl-SI"/>
                    </w:rPr>
                    <w:t>a</w:t>
                  </w:r>
                  <w:r w:rsidRPr="004A448A">
                    <w:rPr>
                      <w:rFonts w:cs="Arial"/>
                      <w:bCs/>
                      <w:szCs w:val="20"/>
                      <w:lang w:val="sl-SI"/>
                    </w:rPr>
                    <w:t xml:space="preserve"> </w:t>
                  </w:r>
                  <w:r w:rsidR="00496203" w:rsidRPr="004A448A">
                    <w:rPr>
                      <w:rFonts w:cs="Arial"/>
                      <w:bCs/>
                      <w:szCs w:val="20"/>
                      <w:lang w:val="sl-SI"/>
                    </w:rPr>
                    <w:t>trajneje nelikvidna  ali dolgotrajno plačilno nesposobna</w:t>
                  </w:r>
                  <w:r w:rsidRPr="004A448A">
                    <w:rPr>
                      <w:rFonts w:cs="Arial"/>
                      <w:bCs/>
                      <w:szCs w:val="20"/>
                      <w:lang w:val="sl-SI"/>
                    </w:rPr>
                    <w:t>. Člen tako predvideva, da se v primeru, ko ministrstvo za finance ugotovi, da je občina presegla največji obseg možnega zadolževanja oblikuje t.i. sanacijski odbor (sestavljen iz predstavnik</w:t>
                  </w:r>
                  <w:r w:rsidR="00B32FD8" w:rsidRPr="004A448A">
                    <w:rPr>
                      <w:rFonts w:cs="Arial"/>
                      <w:bCs/>
                      <w:szCs w:val="20"/>
                      <w:lang w:val="sl-SI"/>
                    </w:rPr>
                    <w:t>a</w:t>
                  </w:r>
                  <w:r w:rsidRPr="004A448A">
                    <w:rPr>
                      <w:rFonts w:cs="Arial"/>
                      <w:bCs/>
                      <w:szCs w:val="20"/>
                      <w:lang w:val="sl-SI"/>
                    </w:rPr>
                    <w:t xml:space="preserve"> ministrstva, pristojnega za finance, predstavnika ministrstva, pristojnega za lokalno samoupravo in </w:t>
                  </w:r>
                  <w:r w:rsidR="00B32FD8" w:rsidRPr="004A448A">
                    <w:rPr>
                      <w:rFonts w:cs="Arial"/>
                      <w:bCs/>
                      <w:szCs w:val="20"/>
                      <w:lang w:val="sl-SI"/>
                    </w:rPr>
                    <w:t>dveh</w:t>
                  </w:r>
                  <w:r w:rsidRPr="004A448A">
                    <w:rPr>
                      <w:rFonts w:cs="Arial"/>
                      <w:bCs/>
                      <w:szCs w:val="20"/>
                      <w:lang w:val="sl-SI"/>
                    </w:rPr>
                    <w:t xml:space="preserve"> predstavnikov občine)</w:t>
                  </w:r>
                  <w:r w:rsidR="00B32FD8" w:rsidRPr="004A448A">
                    <w:rPr>
                      <w:rFonts w:cs="Arial"/>
                      <w:bCs/>
                      <w:szCs w:val="20"/>
                      <w:lang w:val="sl-SI"/>
                    </w:rPr>
                    <w:t>,</w:t>
                  </w:r>
                  <w:r w:rsidRPr="004A448A">
                    <w:rPr>
                      <w:rFonts w:cs="Arial"/>
                      <w:bCs/>
                      <w:szCs w:val="20"/>
                      <w:lang w:val="sl-SI"/>
                    </w:rPr>
                    <w:t xml:space="preserve"> ki pripravi sanacijski načrt in ga predloži županu. </w:t>
                  </w:r>
                </w:p>
                <w:p w14:paraId="42577035" w14:textId="77777777" w:rsidR="00D4118A" w:rsidRPr="004A448A" w:rsidRDefault="00D4118A" w:rsidP="00B30F31">
                  <w:pPr>
                    <w:spacing w:line="240" w:lineRule="auto"/>
                    <w:jc w:val="both"/>
                    <w:rPr>
                      <w:rFonts w:cs="Arial"/>
                      <w:b/>
                      <w:color w:val="FF0000"/>
                      <w:szCs w:val="20"/>
                      <w:lang w:val="sl-SI"/>
                    </w:rPr>
                  </w:pPr>
                </w:p>
                <w:p w14:paraId="3B8FFF78" w14:textId="77777777" w:rsidR="00D4118A" w:rsidRPr="004A448A" w:rsidRDefault="00D4118A" w:rsidP="00B30F31">
                  <w:pPr>
                    <w:spacing w:line="240" w:lineRule="auto"/>
                    <w:jc w:val="both"/>
                    <w:rPr>
                      <w:rFonts w:cs="Arial"/>
                      <w:b/>
                      <w:szCs w:val="20"/>
                      <w:lang w:val="sl-SI"/>
                    </w:rPr>
                  </w:pPr>
                </w:p>
                <w:p w14:paraId="1E4879DC" w14:textId="29AAEC63" w:rsidR="00D4118A" w:rsidRPr="004A448A" w:rsidRDefault="00D4118A" w:rsidP="00B30F31">
                  <w:pPr>
                    <w:spacing w:line="240" w:lineRule="auto"/>
                    <w:jc w:val="both"/>
                    <w:rPr>
                      <w:rFonts w:cs="Arial"/>
                      <w:b/>
                      <w:szCs w:val="20"/>
                      <w:lang w:val="sl-SI"/>
                    </w:rPr>
                  </w:pPr>
                  <w:r w:rsidRPr="004A448A">
                    <w:rPr>
                      <w:rFonts w:cs="Arial"/>
                      <w:b/>
                      <w:szCs w:val="20"/>
                      <w:lang w:val="sl-SI"/>
                    </w:rPr>
                    <w:t xml:space="preserve">K </w:t>
                  </w:r>
                  <w:r w:rsidR="006E7B49" w:rsidRPr="004A448A">
                    <w:rPr>
                      <w:rFonts w:cs="Arial"/>
                      <w:b/>
                      <w:szCs w:val="20"/>
                      <w:lang w:val="sl-SI"/>
                    </w:rPr>
                    <w:t>3</w:t>
                  </w:r>
                  <w:r w:rsidRPr="004A448A">
                    <w:rPr>
                      <w:rFonts w:cs="Arial"/>
                      <w:b/>
                      <w:szCs w:val="20"/>
                      <w:lang w:val="sl-SI"/>
                    </w:rPr>
                    <w:t>. členu</w:t>
                  </w:r>
                </w:p>
                <w:p w14:paraId="5D77A98A" w14:textId="433AB9F2" w:rsidR="00D4118A" w:rsidRPr="004A448A" w:rsidRDefault="00D4118A" w:rsidP="00B30F31">
                  <w:pPr>
                    <w:spacing w:line="240" w:lineRule="auto"/>
                    <w:jc w:val="both"/>
                    <w:rPr>
                      <w:rFonts w:cs="Arial"/>
                      <w:bCs/>
                      <w:szCs w:val="20"/>
                      <w:lang w:val="sl-SI"/>
                    </w:rPr>
                  </w:pPr>
                  <w:r w:rsidRPr="004A448A">
                    <w:rPr>
                      <w:rFonts w:cs="Arial"/>
                      <w:bCs/>
                      <w:szCs w:val="20"/>
                      <w:lang w:val="sl-SI"/>
                    </w:rPr>
                    <w:t>S predlagano spremembo je določeno, da lahko občina s črpanjem posojil in izdajo občinskih obveznic pridobiva sredstva, potrebna za vračilo občinskega dolga pred njegovo dospelostjo.</w:t>
                  </w:r>
                </w:p>
                <w:p w14:paraId="52AFEAF3" w14:textId="77777777" w:rsidR="00D4118A" w:rsidRPr="004A448A" w:rsidRDefault="00D4118A" w:rsidP="00B30F31">
                  <w:pPr>
                    <w:spacing w:line="240" w:lineRule="auto"/>
                    <w:jc w:val="both"/>
                    <w:rPr>
                      <w:rFonts w:cs="Arial"/>
                      <w:b/>
                      <w:color w:val="FF0000"/>
                      <w:szCs w:val="20"/>
                      <w:lang w:val="sl-SI"/>
                    </w:rPr>
                  </w:pPr>
                </w:p>
                <w:p w14:paraId="41D5419F" w14:textId="0A86FC51" w:rsidR="00D4118A" w:rsidRPr="004A448A" w:rsidRDefault="00D4118A" w:rsidP="00B30F31">
                  <w:pPr>
                    <w:spacing w:line="240" w:lineRule="auto"/>
                    <w:jc w:val="both"/>
                    <w:rPr>
                      <w:rFonts w:cs="Arial"/>
                      <w:b/>
                      <w:szCs w:val="20"/>
                      <w:lang w:val="sl-SI"/>
                    </w:rPr>
                  </w:pPr>
                  <w:r w:rsidRPr="004A448A">
                    <w:rPr>
                      <w:rFonts w:cs="Arial"/>
                      <w:b/>
                      <w:szCs w:val="20"/>
                      <w:lang w:val="sl-SI"/>
                    </w:rPr>
                    <w:t xml:space="preserve">K </w:t>
                  </w:r>
                  <w:r w:rsidR="006E7B49" w:rsidRPr="004A448A">
                    <w:rPr>
                      <w:rFonts w:cs="Arial"/>
                      <w:b/>
                      <w:szCs w:val="20"/>
                      <w:lang w:val="sl-SI"/>
                    </w:rPr>
                    <w:t>4</w:t>
                  </w:r>
                  <w:r w:rsidRPr="004A448A">
                    <w:rPr>
                      <w:rFonts w:cs="Arial"/>
                      <w:b/>
                      <w:szCs w:val="20"/>
                      <w:lang w:val="sl-SI"/>
                    </w:rPr>
                    <w:t>. členu</w:t>
                  </w:r>
                </w:p>
                <w:p w14:paraId="5E98E85D" w14:textId="12AA64BB" w:rsidR="00AC48D8" w:rsidRPr="004A448A" w:rsidRDefault="00D4118A" w:rsidP="00E34CF3">
                  <w:pPr>
                    <w:jc w:val="both"/>
                    <w:rPr>
                      <w:rFonts w:cs="Arial"/>
                      <w:bCs/>
                      <w:szCs w:val="20"/>
                      <w:lang w:val="sl-SI"/>
                    </w:rPr>
                  </w:pPr>
                  <w:r w:rsidRPr="004A448A">
                    <w:rPr>
                      <w:rFonts w:cs="Arial"/>
                      <w:bCs/>
                      <w:szCs w:val="20"/>
                      <w:lang w:val="sl-SI"/>
                    </w:rPr>
                    <w:t xml:space="preserve">S predlaganim členom se </w:t>
                  </w:r>
                  <w:r w:rsidR="006E7B49" w:rsidRPr="004A448A">
                    <w:rPr>
                      <w:rFonts w:cs="Arial"/>
                      <w:bCs/>
                      <w:szCs w:val="20"/>
                      <w:lang w:val="sl-SI"/>
                    </w:rPr>
                    <w:t>pri izračunu primerne porabe občine upošteva tudi delež sredstev občin, namenjenih transferjem v javne zavode</w:t>
                  </w:r>
                  <w:r w:rsidR="00AC48D8" w:rsidRPr="004A448A">
                    <w:rPr>
                      <w:rFonts w:cs="Arial"/>
                      <w:bCs/>
                      <w:szCs w:val="20"/>
                      <w:lang w:val="sl-SI"/>
                    </w:rPr>
                    <w:t xml:space="preserve"> tako, da izraža </w:t>
                  </w:r>
                  <w:r w:rsidR="00C235F1" w:rsidRPr="004A448A">
                    <w:rPr>
                      <w:rFonts w:cs="Arial"/>
                      <w:szCs w:val="20"/>
                      <w:lang w:val="sl-SI"/>
                    </w:rPr>
                    <w:t xml:space="preserve">razmerje med tekočimi odhodki in tekočimi transferji posamezne občine in površino tekočimi odhodki in tekočimi transferji  vseh občin. V enačbo je dodana spremenljivka </w:t>
                  </w:r>
                  <w:proofErr w:type="spellStart"/>
                  <w:r w:rsidR="00C235F1" w:rsidRPr="004A448A">
                    <w:rPr>
                      <w:rFonts w:cs="Arial"/>
                      <w:szCs w:val="20"/>
                      <w:lang w:val="sl-SI"/>
                    </w:rPr>
                    <w:t>Tti</w:t>
                  </w:r>
                  <w:proofErr w:type="spellEnd"/>
                  <w:r w:rsidR="00C235F1" w:rsidRPr="004A448A">
                    <w:rPr>
                      <w:rFonts w:cs="Arial"/>
                      <w:szCs w:val="20"/>
                      <w:lang w:val="sl-SI"/>
                    </w:rPr>
                    <w:t xml:space="preserve">. Ta spremenljivka v pretežni meri odraža </w:t>
                  </w:r>
                  <w:r w:rsidR="00AC48D8" w:rsidRPr="004A448A">
                    <w:rPr>
                      <w:rFonts w:cs="Arial"/>
                      <w:szCs w:val="20"/>
                      <w:lang w:val="sl-SI"/>
                    </w:rPr>
                    <w:t>strošk</w:t>
                  </w:r>
                  <w:r w:rsidR="00C235F1" w:rsidRPr="004A448A">
                    <w:rPr>
                      <w:rFonts w:cs="Arial"/>
                      <w:szCs w:val="20"/>
                      <w:lang w:val="sl-SI"/>
                    </w:rPr>
                    <w:t>e</w:t>
                  </w:r>
                  <w:r w:rsidR="00AC48D8" w:rsidRPr="004A448A">
                    <w:rPr>
                      <w:rFonts w:cs="Arial"/>
                      <w:szCs w:val="20"/>
                      <w:lang w:val="sl-SI"/>
                    </w:rPr>
                    <w:t xml:space="preserve"> plač za javne zavode.</w:t>
                  </w:r>
                  <w:r w:rsidR="00AC48D8" w:rsidRPr="006E748E">
                    <w:rPr>
                      <w:rFonts w:cs="Arial"/>
                      <w:szCs w:val="20"/>
                      <w:lang w:val="sl-SI"/>
                    </w:rPr>
                    <w:t xml:space="preserve"> </w:t>
                  </w:r>
                  <w:r w:rsidR="00C235F1" w:rsidRPr="004A448A">
                    <w:rPr>
                      <w:rFonts w:cs="Arial"/>
                      <w:bCs/>
                      <w:szCs w:val="20"/>
                      <w:lang w:val="sl-SI"/>
                    </w:rPr>
                    <w:t>Čeprav</w:t>
                  </w:r>
                  <w:r w:rsidR="00E34CF3" w:rsidRPr="004A448A">
                    <w:rPr>
                      <w:rFonts w:cs="Arial"/>
                      <w:bCs/>
                      <w:szCs w:val="20"/>
                      <w:lang w:val="sl-SI"/>
                    </w:rPr>
                    <w:t xml:space="preserve"> imajo vse slovenske občine ne glede na velikost enake naloge in pristojnosti, pa se v praksi kaže, da imajo predvsem prebivalstveno večje občine višje stroške, ki so posledica višjih </w:t>
                  </w:r>
                  <w:r w:rsidR="00C235F1" w:rsidRPr="004A448A">
                    <w:rPr>
                      <w:rFonts w:cs="Arial"/>
                      <w:bCs/>
                      <w:szCs w:val="20"/>
                      <w:lang w:val="sl-SI"/>
                    </w:rPr>
                    <w:t xml:space="preserve">tekočih </w:t>
                  </w:r>
                  <w:r w:rsidR="00E34CF3" w:rsidRPr="004A448A">
                    <w:rPr>
                      <w:rFonts w:cs="Arial"/>
                      <w:bCs/>
                      <w:szCs w:val="20"/>
                      <w:lang w:val="sl-SI"/>
                    </w:rPr>
                    <w:t xml:space="preserve">transferjev v javne zavode, katerih ustanoviteljice so  in za katere  zagotavljajo sredstva za plače in prispevke za zaposlene v teh zavodih. Vsako povečanje plač, dogovorjeno s kolektivnimi pogodbami ali z zakonom, se nesorazmerno odraža pri občinah, ki imajo večje število zaposlenih v javnih zavodih. Teh razlik ni mogoče ublažiti z višanjem povprečnine, saj se z njo povečuje primerna poraba vseh občin, ne pa le tistih, z višjimi stroški. Predlog dopolnjenega načina izračuna primerne porabe občine te razlike upošteva. </w:t>
                  </w:r>
                </w:p>
                <w:p w14:paraId="3272AAC6" w14:textId="77777777" w:rsidR="00D4118A" w:rsidRPr="004A448A" w:rsidRDefault="00D4118A" w:rsidP="00B30F31">
                  <w:pPr>
                    <w:spacing w:line="240" w:lineRule="auto"/>
                    <w:jc w:val="both"/>
                    <w:rPr>
                      <w:rFonts w:cs="Arial"/>
                      <w:b/>
                      <w:szCs w:val="20"/>
                      <w:lang w:val="sl-SI"/>
                    </w:rPr>
                  </w:pPr>
                </w:p>
                <w:p w14:paraId="740E40A6" w14:textId="1092ACF2" w:rsidR="00D4118A" w:rsidRPr="004A448A" w:rsidRDefault="00D4118A" w:rsidP="00B30F31">
                  <w:pPr>
                    <w:spacing w:line="240" w:lineRule="auto"/>
                    <w:jc w:val="both"/>
                    <w:rPr>
                      <w:rFonts w:cs="Arial"/>
                      <w:b/>
                      <w:szCs w:val="20"/>
                      <w:lang w:val="sl-SI"/>
                    </w:rPr>
                  </w:pPr>
                  <w:r w:rsidRPr="004A448A">
                    <w:rPr>
                      <w:rFonts w:cs="Arial"/>
                      <w:b/>
                      <w:szCs w:val="20"/>
                      <w:lang w:val="sl-SI"/>
                    </w:rPr>
                    <w:t xml:space="preserve">K </w:t>
                  </w:r>
                  <w:r w:rsidR="006E7B49" w:rsidRPr="004A448A">
                    <w:rPr>
                      <w:rFonts w:cs="Arial"/>
                      <w:b/>
                      <w:szCs w:val="20"/>
                      <w:lang w:val="sl-SI"/>
                    </w:rPr>
                    <w:t>5</w:t>
                  </w:r>
                  <w:r w:rsidRPr="004A448A">
                    <w:rPr>
                      <w:rFonts w:cs="Arial"/>
                      <w:b/>
                      <w:szCs w:val="20"/>
                      <w:lang w:val="sl-SI"/>
                    </w:rPr>
                    <w:t>. členu</w:t>
                  </w:r>
                </w:p>
                <w:p w14:paraId="7479B734" w14:textId="1C4F8421" w:rsidR="00C235F1" w:rsidRPr="004A448A" w:rsidRDefault="00D4118A" w:rsidP="00B30F31">
                  <w:pPr>
                    <w:spacing w:line="240" w:lineRule="auto"/>
                    <w:jc w:val="both"/>
                    <w:rPr>
                      <w:rFonts w:cs="Arial"/>
                      <w:szCs w:val="20"/>
                      <w:lang w:val="sl-SI"/>
                    </w:rPr>
                  </w:pPr>
                  <w:r w:rsidRPr="004A448A">
                    <w:rPr>
                      <w:rFonts w:cs="Arial"/>
                      <w:szCs w:val="20"/>
                      <w:lang w:val="sl-SI"/>
                    </w:rPr>
                    <w:t xml:space="preserve">Predlagan člen ureja sofinanciranje obveznosti občin z evidentiranimi romskimi naselji, pri čemer člen določa, da bo seznam občin z evidentiranimi romskimi naselji s sklepom določila Vlada. V prvem odstavku je tako določena obveznost zagotavljanja sredstev za sofinanciranje obveznosti občin z romskimi naselji iz državnega proračuna. Višina sredstev, ki se zagotovijo občinam za sofinanciranje obveznosti občin z romskimi naselji je omejena na 3,5 % skupne primerne porabe občin z romskimi naselji. </w:t>
                  </w:r>
                  <w:bookmarkStart w:id="4" w:name="_Hlk146701041"/>
                  <w:r w:rsidRPr="004A448A">
                    <w:rPr>
                      <w:rFonts w:cs="Arial"/>
                      <w:szCs w:val="20"/>
                      <w:lang w:val="sl-SI"/>
                    </w:rPr>
                    <w:t xml:space="preserve">Skupna primerna poraba teh občin pomeni seštevek primerne porabe vseh občin z romskimi naselji. </w:t>
                  </w:r>
                  <w:bookmarkEnd w:id="4"/>
                  <w:r w:rsidRPr="004A448A">
                    <w:rPr>
                      <w:rFonts w:cs="Arial"/>
                      <w:szCs w:val="20"/>
                      <w:lang w:val="sl-SI"/>
                    </w:rPr>
                    <w:t xml:space="preserve">Občine z romskimi naselji bodo upravičene do sofinanciranja v deležu, ki bo odražal število prebivalcev občine, površino občine, ocenjeno število romskih naselij, razvitost občine in ocenjeno število prebivalcev romskih naselij. Podatki o številu prebivalcev občine, njeni površini in razvitosti so podatki, ki bodo pridobljeni iz uradnih evidenc, medtem ko bosta podatka o ocenjenem številu romskih naselij in ocenjenemu številu prebivalcev romskih naselij podatka, ki ju bodo sporočale občine, saj ni zakonske podlage za zbiranje uradnih podatkov o številu oseb na podlagi etnične pripadnosti. Ocena, ki jo bo podala občina bo pomembna podlaga za izračun deleža sredstev, ki bo pripadal posamezni občini, saj so obveznosti občine z romskimi naselji sorazmerne številu romskih naselij in prebivalcev le-teh. </w:t>
                  </w:r>
                  <w:r w:rsidR="00C235F1" w:rsidRPr="004A448A">
                    <w:rPr>
                      <w:rFonts w:cs="Arial"/>
                      <w:szCs w:val="20"/>
                      <w:lang w:val="sl-SI"/>
                    </w:rPr>
                    <w:t xml:space="preserve">Ocenjeni podatki se bodo periodično preverjali in posodabljali, uporabljali pa se ne bodo za ugotavljanje, ali gre takšni občini pravica do dodatnega financiranja ali ne, pač pa za določitev deleža sredstev, ki pripada posamezni občini iz skupno določene kvote. </w:t>
                  </w:r>
                </w:p>
                <w:p w14:paraId="5F3E061E" w14:textId="77777777" w:rsidR="00C235F1" w:rsidRPr="004A448A" w:rsidRDefault="00C235F1" w:rsidP="00B30F31">
                  <w:pPr>
                    <w:spacing w:line="240" w:lineRule="auto"/>
                    <w:jc w:val="both"/>
                    <w:rPr>
                      <w:rFonts w:cs="Arial"/>
                      <w:szCs w:val="20"/>
                      <w:lang w:val="sl-SI"/>
                    </w:rPr>
                  </w:pPr>
                </w:p>
                <w:p w14:paraId="6A93A783" w14:textId="141FE3F3" w:rsidR="00D4118A" w:rsidRPr="004A448A" w:rsidRDefault="00D4118A" w:rsidP="00B30F31">
                  <w:pPr>
                    <w:spacing w:line="240" w:lineRule="auto"/>
                    <w:jc w:val="both"/>
                    <w:rPr>
                      <w:rFonts w:cs="Arial"/>
                      <w:b/>
                      <w:szCs w:val="20"/>
                      <w:lang w:val="sl-SI"/>
                    </w:rPr>
                  </w:pPr>
                  <w:r w:rsidRPr="004A448A">
                    <w:rPr>
                      <w:rFonts w:cs="Arial"/>
                      <w:szCs w:val="20"/>
                      <w:lang w:val="sl-SI"/>
                    </w:rPr>
                    <w:t xml:space="preserve">Vlada bo z uredbo podrobneje opredelila </w:t>
                  </w:r>
                  <w:r w:rsidR="00C235F1" w:rsidRPr="004A448A">
                    <w:rPr>
                      <w:rFonts w:cs="Arial"/>
                      <w:szCs w:val="20"/>
                      <w:lang w:val="sl-SI"/>
                    </w:rPr>
                    <w:t>utež</w:t>
                  </w:r>
                  <w:r w:rsidRPr="004A448A">
                    <w:rPr>
                      <w:rFonts w:cs="Arial"/>
                      <w:szCs w:val="20"/>
                      <w:lang w:val="sl-SI"/>
                    </w:rPr>
                    <w:t xml:space="preserve">, ki </w:t>
                  </w:r>
                  <w:r w:rsidR="00C235F1" w:rsidRPr="004A448A">
                    <w:rPr>
                      <w:rFonts w:cs="Arial"/>
                      <w:szCs w:val="20"/>
                      <w:lang w:val="sl-SI"/>
                    </w:rPr>
                    <w:t>jo</w:t>
                  </w:r>
                  <w:r w:rsidRPr="004A448A">
                    <w:rPr>
                      <w:rFonts w:cs="Arial"/>
                      <w:szCs w:val="20"/>
                      <w:lang w:val="sl-SI"/>
                    </w:rPr>
                    <w:t xml:space="preserve"> bo imel posamezen kriterij pri izračunu sredstev. Člen določa pooblastilo vladi, da z uredbo določi namene porabe sredstev iz tega odstavka, saj bodo sredstva, ki bodo podeljena iz tega naslova namenska. Vlada na podlagi zakonskega pooblastila določi v okviru katerih namenov šteje, da občina izvaja zakonske obveznosti občin z romskimi naselji. Skladno z Zakonom o romski skupnosti v Republiki Sloveniji (Uradni list RS, št. 33/07; v nadaljevanju: ZRomS-1) bodo nameni porabe predvsem zagotavljanje pogojev za urejanje prostorske problematike romskih naselij in izboljšanje bivalnih razmer pripadnikov romske skupnosti (5. člen ZRomS-1), delovanje posebnega delovnega telesa za spremljanje položaja romske skupnosti (7. člen ZRomS-1) in financiranje ukrepov iz Nacionalnega programa za Rome. Člen določa tudi, da bo vsako leto odločbo o višini sredstev, ki pripadajo občinam na podlagi tega člena na predlog državnega organa, pristojnega za narodnosti izdala vlada. Podobno kot v primeru sofinanciranja uresničevanja pravic avtohtone italijanske in madžarske narodne skupnosti (20. člen ZFO-1) bo izdana ena odločba, na podlagi katere bodo razdeljena vsa sredstva med občine. </w:t>
                  </w:r>
                </w:p>
                <w:p w14:paraId="3D8E4E4B" w14:textId="77777777" w:rsidR="00D4118A" w:rsidRPr="004A448A" w:rsidRDefault="00D4118A" w:rsidP="00B30F31">
                  <w:pPr>
                    <w:spacing w:line="240" w:lineRule="auto"/>
                    <w:jc w:val="both"/>
                    <w:rPr>
                      <w:rFonts w:cs="Arial"/>
                      <w:b/>
                      <w:szCs w:val="20"/>
                      <w:lang w:val="sl-SI"/>
                    </w:rPr>
                  </w:pPr>
                </w:p>
                <w:p w14:paraId="175E56D6" w14:textId="6B30D049" w:rsidR="00D4118A" w:rsidRPr="004A448A" w:rsidRDefault="00D4118A" w:rsidP="00B30F31">
                  <w:pPr>
                    <w:spacing w:line="240" w:lineRule="auto"/>
                    <w:jc w:val="both"/>
                    <w:rPr>
                      <w:rFonts w:cs="Arial"/>
                      <w:b/>
                      <w:szCs w:val="20"/>
                      <w:lang w:val="sl-SI"/>
                    </w:rPr>
                  </w:pPr>
                  <w:r w:rsidRPr="004A448A">
                    <w:rPr>
                      <w:rFonts w:cs="Arial"/>
                      <w:b/>
                      <w:szCs w:val="20"/>
                      <w:lang w:val="sl-SI"/>
                    </w:rPr>
                    <w:t xml:space="preserve">K </w:t>
                  </w:r>
                  <w:r w:rsidR="00206B0A">
                    <w:rPr>
                      <w:rFonts w:cs="Arial"/>
                      <w:b/>
                      <w:szCs w:val="20"/>
                      <w:lang w:val="sl-SI"/>
                    </w:rPr>
                    <w:t>6</w:t>
                  </w:r>
                  <w:r w:rsidRPr="004A448A">
                    <w:rPr>
                      <w:rFonts w:cs="Arial"/>
                      <w:b/>
                      <w:szCs w:val="20"/>
                      <w:lang w:val="sl-SI"/>
                    </w:rPr>
                    <w:t>. členu</w:t>
                  </w:r>
                </w:p>
                <w:p w14:paraId="3C96D70E" w14:textId="77777777" w:rsidR="004F5411" w:rsidRPr="004A448A" w:rsidRDefault="004F5411" w:rsidP="004F5411">
                  <w:pPr>
                    <w:jc w:val="both"/>
                    <w:rPr>
                      <w:rFonts w:cs="Arial"/>
                      <w:szCs w:val="20"/>
                      <w:lang w:val="sl-SI"/>
                    </w:rPr>
                  </w:pPr>
                  <w:bookmarkStart w:id="5" w:name="_Hlk71306363"/>
                  <w:r w:rsidRPr="004A448A">
                    <w:rPr>
                      <w:rFonts w:cs="Arial"/>
                      <w:szCs w:val="20"/>
                      <w:lang w:val="sl-SI"/>
                    </w:rPr>
                    <w:t xml:space="preserve">Ker so veljavni kazalniki razvitosti na eni strani zastareli, na kar so več let opozarjala tudi reprezentativna združenja občin, na drugi strani pa so v javnih bazah dostopni tudi številni drugi podatki o stanju v občinah, novi 24. člen prinaša ne le širši nabor kazalnikov, pač pa tudi njihovo mednarodno primerljivost.  Na podlagi pregleda obstoječih statističnih evidenc v Republiki Sloveniji, ki so redno </w:t>
                  </w:r>
                  <w:proofErr w:type="spellStart"/>
                  <w:r w:rsidRPr="004A448A">
                    <w:rPr>
                      <w:rFonts w:cs="Arial"/>
                      <w:szCs w:val="20"/>
                      <w:lang w:val="sl-SI"/>
                    </w:rPr>
                    <w:t>posodabljane</w:t>
                  </w:r>
                  <w:proofErr w:type="spellEnd"/>
                  <w:r w:rsidRPr="004A448A">
                    <w:rPr>
                      <w:rFonts w:cs="Arial"/>
                      <w:szCs w:val="20"/>
                      <w:lang w:val="sl-SI"/>
                    </w:rPr>
                    <w:t xml:space="preserve">, se predlaga nabor trinajstih kazalnikov, urejenih v štiri vsebinske sklope (družba, gospodarstvo, infrastruktura in finančni viri). Po vsebini gre za tako imenovane </w:t>
                  </w:r>
                  <w:proofErr w:type="spellStart"/>
                  <w:r w:rsidRPr="004A448A">
                    <w:rPr>
                      <w:rFonts w:cs="Arial"/>
                      <w:szCs w:val="20"/>
                      <w:lang w:val="sl-SI"/>
                    </w:rPr>
                    <w:t>kompozitne</w:t>
                  </w:r>
                  <w:proofErr w:type="spellEnd"/>
                  <w:r w:rsidRPr="004A448A">
                    <w:rPr>
                      <w:rFonts w:cs="Arial"/>
                      <w:szCs w:val="20"/>
                      <w:lang w:val="sl-SI"/>
                    </w:rPr>
                    <w:t>, sestavljene indikatorje oziroma indekse. Nabor predlaganih kazalnikov za merjenje razvitosti občin se bo prvenstveno še vedno uporabljal za določitev deleža sofinanciranja državnih investicij v občinah, bo pa zaradi večjega nabora in mednarodne primerljivosti uporabljiv tudi za druge namene, v kolikor se bo za to pokazala potreba.</w:t>
                  </w:r>
                </w:p>
                <w:p w14:paraId="01C51B9A" w14:textId="77777777" w:rsidR="004F5411" w:rsidRPr="004A448A" w:rsidRDefault="004F5411" w:rsidP="004F5411">
                  <w:pPr>
                    <w:jc w:val="both"/>
                    <w:rPr>
                      <w:rFonts w:cs="Arial"/>
                      <w:szCs w:val="20"/>
                      <w:lang w:val="sl-SI"/>
                    </w:rPr>
                  </w:pPr>
                </w:p>
                <w:p w14:paraId="01C0A722" w14:textId="1F340C16" w:rsidR="004F5411" w:rsidRPr="004A448A" w:rsidRDefault="004F5411" w:rsidP="004F5411">
                  <w:pPr>
                    <w:shd w:val="clear" w:color="auto" w:fill="FFFFFF"/>
                    <w:jc w:val="both"/>
                    <w:rPr>
                      <w:rFonts w:cs="Arial"/>
                      <w:szCs w:val="20"/>
                      <w:lang w:val="sl-SI"/>
                    </w:rPr>
                  </w:pPr>
                  <w:r w:rsidRPr="004A448A">
                    <w:rPr>
                      <w:rFonts w:cs="Arial"/>
                      <w:szCs w:val="20"/>
                      <w:lang w:val="sl-SI"/>
                    </w:rPr>
                    <w:t xml:space="preserve">Sklop dimenzija družbe vsebuje kazalnike gostote naseljenosti prebivalcev, indeksa staranja prebivalcev in stopnje izobraženosti. Indikator gostote naseljenosti prebivalcev je merilo, ki opisuje razmerje med številom prebivalcev in površino določenega območja. Indikator staranja prebivalstva je demografski kazalnik, ki izraža razmerje med deležem starejših prebivalcev in deležem mlajših prebivalcev v populaciji. Izračuna se kot razmerje med številom starejših prebivalcev na 100 mlajših prebivalcev. Indikator stopnje izobraženosti je kazalnik, ki predstavlja razmerje med izobraženim prebivalstvom in gibanjem gospodarskega razvoja občine, saj  ima višja stopnja izobrazbe pozitiven vpliv na možnosti zaposlitve posredno pa občine z visoko izobraženim kadrom privabljajo investitorje, ki prispevajo k dvigu razvitosti občine. Dimenzija gospodarstva opredeljujejo kazalniki števila delovno aktivnega prebivalstva, bruto dodane vrednosti gospodarskih družb na zaposlenega,  števila podjetij in števila delovnik mest. Indikator delovno aktivno prebivalstvo je merilo, ki opredeljuje  skupino ljudi v določeni populaciji, ki so v delovni dobi (običajno med 15 in 64 letom starosti) in so bodisi zaposleni bodisi aktivno iščejo zaposlitev. Delovno aktivno prebivalstvo vključuje tako zaposlene osebe, ki opravljajo plačano delo, kot tudi osebe, ki so brezposelne, vendar aktivno iščejo zaposlitev. </w:t>
                  </w:r>
                  <w:r w:rsidRPr="004A448A">
                    <w:rPr>
                      <w:rFonts w:cs="Arial"/>
                      <w:color w:val="000000" w:themeColor="text1"/>
                      <w:szCs w:val="20"/>
                      <w:shd w:val="clear" w:color="auto" w:fill="FFFFFF"/>
                      <w:lang w:val="sl-SI" w:eastAsia="sl-SI"/>
                    </w:rPr>
                    <w:t xml:space="preserve">Kazalnik delovno aktivnega prebivalstva po občinah delovnega mesta lahko tolmačimo kot kazalnik koliko delovnih mest je v občini na voljo. </w:t>
                  </w:r>
                  <w:r w:rsidRPr="004A448A">
                    <w:rPr>
                      <w:rFonts w:cs="Arial"/>
                      <w:szCs w:val="20"/>
                      <w:lang w:val="sl-SI"/>
                    </w:rPr>
                    <w:t xml:space="preserve">Indikator bruto dodana vrednost gospodarskih družb na zaposlenega je ekonomski kazalnik, ki meri produktivnost gospodarskih družb. Ta kazalnik se izračuna tako, da se bruto dodana vrednost deli s številom zaposlenih v določenem obdobju. Bruto dodana vrednost pa predstavlja razliko med prihodki od prodaje in vrednostjo med-proizvodne porabe. Indikator število podjetij je kazalnik, ki izkazuje število podjetij po občinah. Pri tem je enota, ki jo opisujejo objavljeni podatki iz </w:t>
                  </w:r>
                  <w:proofErr w:type="spellStart"/>
                  <w:r w:rsidRPr="004A448A">
                    <w:rPr>
                      <w:rFonts w:cs="Arial"/>
                      <w:szCs w:val="20"/>
                      <w:lang w:val="sl-SI"/>
                    </w:rPr>
                    <w:t>SURSa</w:t>
                  </w:r>
                  <w:proofErr w:type="spellEnd"/>
                  <w:r w:rsidRPr="004A448A">
                    <w:rPr>
                      <w:rFonts w:cs="Arial"/>
                      <w:szCs w:val="20"/>
                      <w:lang w:val="sl-SI"/>
                    </w:rPr>
                    <w:t xml:space="preserve">, podjetje, registrirano kot pravna ali fizična oseba, ki je med letom opazovanja izkazala prihodek ali zaposlene osebe ali investicije. Dimenzija infrastrukture vsebuje kazalnike </w:t>
                  </w:r>
                  <w:r w:rsidRPr="004A448A">
                    <w:rPr>
                      <w:rFonts w:cs="Arial"/>
                      <w:szCs w:val="20"/>
                      <w:lang w:val="sl-SI" w:eastAsia="sl-SI"/>
                    </w:rPr>
                    <w:t xml:space="preserve">število otrok vključenih v predšolsko vzgojo, število učencev vključenih v osnovnošolsko izobraževanje </w:t>
                  </w:r>
                  <w:r w:rsidRPr="004A448A">
                    <w:rPr>
                      <w:rFonts w:cs="Arial"/>
                      <w:szCs w:val="20"/>
                      <w:lang w:val="sl-SI"/>
                    </w:rPr>
                    <w:t xml:space="preserve">in opremljenosti s komunalnimi dobrinami. Indikator opremljenosti s komunalnimi dobrinami  je v trenutno veljavnih kazalnikih izračuna razvitosti občin  indikator »oskrbljenosti z dobrinami in storitvami javnih komunalnih služb (stopnja </w:t>
                  </w:r>
                  <w:proofErr w:type="spellStart"/>
                  <w:r w:rsidRPr="004A448A">
                    <w:rPr>
                      <w:rFonts w:cs="Arial"/>
                      <w:szCs w:val="20"/>
                      <w:lang w:val="sl-SI"/>
                    </w:rPr>
                    <w:t>priključenosti</w:t>
                  </w:r>
                  <w:proofErr w:type="spellEnd"/>
                  <w:r w:rsidRPr="004A448A">
                    <w:rPr>
                      <w:rFonts w:cs="Arial"/>
                      <w:szCs w:val="20"/>
                      <w:lang w:val="sl-SI"/>
                    </w:rPr>
                    <w:t xml:space="preserve"> na javno kanalizacijsko omrežje po</w:t>
                  </w:r>
                  <w:r w:rsidR="00421B32" w:rsidRPr="004A448A">
                    <w:rPr>
                      <w:rFonts w:cs="Arial"/>
                      <w:szCs w:val="20"/>
                      <w:lang w:val="sl-SI"/>
                    </w:rPr>
                    <w:t xml:space="preserve"> občinah</w:t>
                  </w:r>
                  <w:r w:rsidRPr="004A448A">
                    <w:rPr>
                      <w:rFonts w:cs="Arial"/>
                      <w:szCs w:val="20"/>
                      <w:lang w:val="sl-SI"/>
                    </w:rPr>
                    <w:t xml:space="preserve">)«, ki ga poroča Ministrstvo za </w:t>
                  </w:r>
                  <w:r w:rsidR="00421B32" w:rsidRPr="004A448A">
                    <w:rPr>
                      <w:rFonts w:cs="Arial"/>
                      <w:szCs w:val="20"/>
                      <w:lang w:val="sl-SI"/>
                    </w:rPr>
                    <w:t xml:space="preserve">naravne vire </w:t>
                  </w:r>
                  <w:r w:rsidRPr="004A448A">
                    <w:rPr>
                      <w:rFonts w:cs="Arial"/>
                      <w:szCs w:val="20"/>
                      <w:lang w:val="sl-SI"/>
                    </w:rPr>
                    <w:t>in prostor Republike Slovenije</w:t>
                  </w:r>
                  <w:r w:rsidR="00421B32" w:rsidRPr="004A448A">
                    <w:rPr>
                      <w:rFonts w:cs="Arial"/>
                      <w:szCs w:val="20"/>
                      <w:lang w:val="sl-SI"/>
                    </w:rPr>
                    <w:t xml:space="preserve"> </w:t>
                  </w:r>
                  <w:r w:rsidRPr="004A448A">
                    <w:rPr>
                      <w:rFonts w:cs="Arial"/>
                      <w:szCs w:val="20"/>
                      <w:lang w:val="sl-SI"/>
                    </w:rPr>
                    <w:t xml:space="preserve">. Dimenzija finančnih virov vsebuje kazalnike virov </w:t>
                  </w:r>
                  <w:r w:rsidR="006E7B49" w:rsidRPr="004A448A">
                    <w:rPr>
                      <w:rFonts w:cs="Arial"/>
                      <w:szCs w:val="20"/>
                      <w:lang w:val="sl-SI"/>
                    </w:rPr>
                    <w:t>tistih</w:t>
                  </w:r>
                  <w:r w:rsidRPr="004A448A">
                    <w:rPr>
                      <w:rFonts w:cs="Arial"/>
                      <w:szCs w:val="20"/>
                      <w:lang w:val="sl-SI"/>
                    </w:rPr>
                    <w:t xml:space="preserve"> prihodkov občine, </w:t>
                  </w:r>
                  <w:r w:rsidR="006E7B49" w:rsidRPr="004A448A">
                    <w:rPr>
                      <w:rFonts w:cs="Arial"/>
                      <w:szCs w:val="20"/>
                      <w:lang w:val="sl-SI"/>
                    </w:rPr>
                    <w:t>razen prihodkov primerne porabe</w:t>
                  </w:r>
                  <w:r w:rsidRPr="004A448A">
                    <w:rPr>
                      <w:rFonts w:cs="Arial"/>
                      <w:bCs/>
                      <w:color w:val="000000" w:themeColor="text1"/>
                      <w:szCs w:val="20"/>
                      <w:shd w:val="clear" w:color="auto" w:fill="FFFFFF"/>
                      <w:lang w:val="sl-SI" w:eastAsia="sl-SI"/>
                    </w:rPr>
                    <w:t>.</w:t>
                  </w:r>
                </w:p>
                <w:p w14:paraId="56D88211" w14:textId="77777777" w:rsidR="004F5411" w:rsidRPr="004A448A" w:rsidRDefault="004F5411" w:rsidP="004F5411">
                  <w:pPr>
                    <w:spacing w:line="240" w:lineRule="auto"/>
                    <w:jc w:val="both"/>
                    <w:rPr>
                      <w:rFonts w:cs="Arial"/>
                      <w:szCs w:val="20"/>
                      <w:lang w:val="sl-SI"/>
                    </w:rPr>
                  </w:pPr>
                </w:p>
                <w:p w14:paraId="4B02B849" w14:textId="77777777" w:rsidR="004F5411" w:rsidRPr="004A448A" w:rsidRDefault="004F5411" w:rsidP="004F5411">
                  <w:pPr>
                    <w:spacing w:line="240" w:lineRule="auto"/>
                    <w:jc w:val="both"/>
                    <w:rPr>
                      <w:rFonts w:cs="Arial"/>
                      <w:szCs w:val="20"/>
                      <w:lang w:val="sl-SI"/>
                    </w:rPr>
                  </w:pPr>
                  <w:r w:rsidRPr="004A448A">
                    <w:rPr>
                      <w:rFonts w:cs="Arial"/>
                      <w:szCs w:val="20"/>
                      <w:lang w:val="sl-SI"/>
                    </w:rPr>
                    <w:t>Člen določa, da vlada z uredbo določi kateri podatki iz uradnih evidenc in za kakšna obdobja se upoštevajo pri izračunu kazalnikov ter določi organe, pristojne za pripravo podatkov. Na podlagi vladne uredbe ministrstvo pristojno za finance za dve leti razvitost občin kot merilo za sofinanciranje investicij.</w:t>
                  </w:r>
                </w:p>
                <w:p w14:paraId="14337B29" w14:textId="77777777" w:rsidR="00D4118A" w:rsidRPr="004A448A" w:rsidRDefault="00D4118A" w:rsidP="00B30F31">
                  <w:pPr>
                    <w:spacing w:line="240" w:lineRule="auto"/>
                    <w:jc w:val="both"/>
                    <w:rPr>
                      <w:rFonts w:cs="Arial"/>
                      <w:szCs w:val="20"/>
                      <w:lang w:val="sl-SI"/>
                    </w:rPr>
                  </w:pPr>
                </w:p>
                <w:p w14:paraId="1608A186" w14:textId="4AB378DB" w:rsidR="00D4118A" w:rsidRPr="004A448A" w:rsidRDefault="00D4118A" w:rsidP="00B30F31">
                  <w:pPr>
                    <w:spacing w:line="240" w:lineRule="auto"/>
                    <w:jc w:val="both"/>
                    <w:rPr>
                      <w:rFonts w:cs="Arial"/>
                      <w:b/>
                      <w:bCs/>
                      <w:szCs w:val="20"/>
                      <w:lang w:val="sl-SI"/>
                    </w:rPr>
                  </w:pPr>
                  <w:r w:rsidRPr="004A448A">
                    <w:rPr>
                      <w:rFonts w:cs="Arial"/>
                      <w:b/>
                      <w:bCs/>
                      <w:szCs w:val="20"/>
                      <w:lang w:val="sl-SI"/>
                    </w:rPr>
                    <w:t xml:space="preserve">K </w:t>
                  </w:r>
                  <w:r w:rsidR="00206B0A">
                    <w:rPr>
                      <w:rFonts w:cs="Arial"/>
                      <w:b/>
                      <w:bCs/>
                      <w:szCs w:val="20"/>
                      <w:lang w:val="sl-SI"/>
                    </w:rPr>
                    <w:t>7</w:t>
                  </w:r>
                  <w:r w:rsidRPr="004A448A">
                    <w:rPr>
                      <w:rFonts w:cs="Arial"/>
                      <w:b/>
                      <w:bCs/>
                      <w:szCs w:val="20"/>
                      <w:lang w:val="sl-SI"/>
                    </w:rPr>
                    <w:t>. členu</w:t>
                  </w:r>
                </w:p>
                <w:p w14:paraId="7192967A" w14:textId="51DF7B67" w:rsidR="006E7B49" w:rsidRPr="004A448A" w:rsidRDefault="00D4118A" w:rsidP="00B30F31">
                  <w:pPr>
                    <w:spacing w:line="240" w:lineRule="auto"/>
                    <w:jc w:val="both"/>
                    <w:rPr>
                      <w:rFonts w:cs="Arial"/>
                      <w:bCs/>
                      <w:szCs w:val="20"/>
                      <w:lang w:val="sl-SI" w:eastAsia="sl-SI"/>
                    </w:rPr>
                  </w:pPr>
                  <w:r w:rsidRPr="004A448A">
                    <w:rPr>
                      <w:rFonts w:cs="Arial"/>
                      <w:bCs/>
                      <w:szCs w:val="20"/>
                      <w:lang w:val="sl-SI" w:eastAsia="sl-SI"/>
                    </w:rPr>
                    <w:t xml:space="preserve">S predlagano spremembo </w:t>
                  </w:r>
                  <w:r w:rsidR="006E7B49" w:rsidRPr="004A448A">
                    <w:rPr>
                      <w:rFonts w:cs="Arial"/>
                      <w:bCs/>
                      <w:szCs w:val="20"/>
                      <w:lang w:val="sl-SI" w:eastAsia="sl-SI"/>
                    </w:rPr>
                    <w:t xml:space="preserve">24. člena, ki določa izračunavanje razvitosti občin, se spreminja tudi </w:t>
                  </w:r>
                  <w:proofErr w:type="spellStart"/>
                  <w:r w:rsidRPr="004A448A">
                    <w:rPr>
                      <w:rFonts w:cs="Arial"/>
                      <w:bCs/>
                      <w:szCs w:val="20"/>
                      <w:lang w:val="sl-SI" w:eastAsia="sl-SI"/>
                    </w:rPr>
                    <w:t>24.a</w:t>
                  </w:r>
                  <w:proofErr w:type="spellEnd"/>
                  <w:r w:rsidRPr="004A448A">
                    <w:rPr>
                      <w:rFonts w:cs="Arial"/>
                      <w:bCs/>
                      <w:szCs w:val="20"/>
                      <w:lang w:val="sl-SI" w:eastAsia="sl-SI"/>
                    </w:rPr>
                    <w:t xml:space="preserve"> člen</w:t>
                  </w:r>
                  <w:r w:rsidR="006E7B49" w:rsidRPr="004A448A">
                    <w:rPr>
                      <w:rFonts w:cs="Arial"/>
                      <w:bCs/>
                      <w:szCs w:val="20"/>
                      <w:lang w:val="sl-SI" w:eastAsia="sl-SI"/>
                    </w:rPr>
                    <w:t xml:space="preserve"> tako, da določa obseg sofinanciranja investicij iz državnega proračuna. Glede na veljavno ureditev je lestvica določena med 50 in 100 %, odvisno od stopnje razvitosti občine. Spremenjeni člen pa določa lestvico z večjim razponom od </w:t>
                  </w:r>
                  <w:r w:rsidR="00BF4ED0" w:rsidRPr="004A448A">
                    <w:rPr>
                      <w:rFonts w:cs="Arial"/>
                      <w:bCs/>
                      <w:szCs w:val="20"/>
                      <w:lang w:val="sl-SI" w:eastAsia="sl-SI"/>
                    </w:rPr>
                    <w:t>40</w:t>
                  </w:r>
                  <w:r w:rsidR="006E7B49" w:rsidRPr="004A448A">
                    <w:rPr>
                      <w:rFonts w:cs="Arial"/>
                      <w:bCs/>
                      <w:szCs w:val="20"/>
                      <w:lang w:val="sl-SI" w:eastAsia="sl-SI"/>
                    </w:rPr>
                    <w:t xml:space="preserve"> do 80 % sofinanciranja. </w:t>
                  </w:r>
                  <w:r w:rsidR="00BF4ED0" w:rsidRPr="004A448A">
                    <w:rPr>
                      <w:rFonts w:cs="Arial"/>
                      <w:bCs/>
                      <w:szCs w:val="20"/>
                      <w:lang w:val="sl-SI" w:eastAsia="sl-SI"/>
                    </w:rPr>
                    <w:t>Večji razpon ustrezneje odraža razlike v razvitosti občin.</w:t>
                  </w:r>
                </w:p>
                <w:p w14:paraId="6651F376" w14:textId="77777777" w:rsidR="006E7B49" w:rsidRPr="004A448A" w:rsidRDefault="006E7B49" w:rsidP="00B30F31">
                  <w:pPr>
                    <w:spacing w:line="240" w:lineRule="auto"/>
                    <w:jc w:val="both"/>
                    <w:rPr>
                      <w:rFonts w:cs="Arial"/>
                      <w:bCs/>
                      <w:szCs w:val="20"/>
                      <w:lang w:val="sl-SI" w:eastAsia="sl-SI"/>
                    </w:rPr>
                  </w:pPr>
                </w:p>
                <w:p w14:paraId="1F57554F" w14:textId="77777777" w:rsidR="00D4118A" w:rsidRPr="004A448A" w:rsidRDefault="00D4118A" w:rsidP="00B30F31">
                  <w:pPr>
                    <w:spacing w:line="240" w:lineRule="auto"/>
                    <w:jc w:val="both"/>
                    <w:rPr>
                      <w:rFonts w:cs="Arial"/>
                      <w:szCs w:val="20"/>
                      <w:lang w:val="sl-SI"/>
                    </w:rPr>
                  </w:pPr>
                </w:p>
                <w:p w14:paraId="74706F38" w14:textId="6230389B" w:rsidR="00D4118A" w:rsidRPr="004A448A" w:rsidRDefault="00D4118A" w:rsidP="00B30F31">
                  <w:pPr>
                    <w:spacing w:line="240" w:lineRule="auto"/>
                    <w:jc w:val="both"/>
                    <w:rPr>
                      <w:rFonts w:cs="Arial"/>
                      <w:b/>
                      <w:bCs/>
                      <w:szCs w:val="20"/>
                      <w:lang w:val="sl-SI"/>
                    </w:rPr>
                  </w:pPr>
                  <w:r w:rsidRPr="004A448A">
                    <w:rPr>
                      <w:rFonts w:cs="Arial"/>
                      <w:b/>
                      <w:bCs/>
                      <w:szCs w:val="20"/>
                      <w:lang w:val="sl-SI"/>
                    </w:rPr>
                    <w:t xml:space="preserve">K </w:t>
                  </w:r>
                  <w:r w:rsidR="00206B0A">
                    <w:rPr>
                      <w:rFonts w:cs="Arial"/>
                      <w:b/>
                      <w:bCs/>
                      <w:szCs w:val="20"/>
                      <w:lang w:val="sl-SI"/>
                    </w:rPr>
                    <w:t>8</w:t>
                  </w:r>
                  <w:r w:rsidRPr="004A448A">
                    <w:rPr>
                      <w:rFonts w:cs="Arial"/>
                      <w:b/>
                      <w:bCs/>
                      <w:szCs w:val="20"/>
                      <w:lang w:val="sl-SI"/>
                    </w:rPr>
                    <w:t>. členu</w:t>
                  </w:r>
                </w:p>
                <w:p w14:paraId="7C730324" w14:textId="77777777" w:rsidR="002E7D1B" w:rsidRDefault="002E7D1B" w:rsidP="002E7D1B">
                  <w:pPr>
                    <w:spacing w:line="240" w:lineRule="auto"/>
                    <w:jc w:val="both"/>
                    <w:rPr>
                      <w:rFonts w:cs="Arial"/>
                      <w:szCs w:val="20"/>
                      <w:lang w:val="sl-SI"/>
                    </w:rPr>
                  </w:pPr>
                  <w:r w:rsidRPr="009B421B">
                    <w:rPr>
                      <w:rFonts w:cs="Arial"/>
                      <w:szCs w:val="20"/>
                      <w:lang w:val="sl-SI"/>
                    </w:rPr>
                    <w:t>S spremembo 26. člena ZFO-1 se poenostavlja postopek dodeljevanja sredstev občinam za sofinanciranje skupnega opravljanja nalog občinske uprave. Poleg spremenjenega postopka ugotavljanja višine sredstev tudi nabor nalog ni več omejen, delež sredstev, ki pripada občinam, pa je enak za vse in ni več variabilen. S poenostavitvijo postopka se zmanjšuje administrativno breme občinam, saj jim po novem ne bo več treba pošiljati obsežne dokumentacije in izpolnjevati zahtevnih obrazcev pri vložitvi zahtevkov. Zmanjšuje se tudi administrativna obremenitev ministrstva zaradi poenostavljenega postopka ugotavljanja višine sofinanciranja. Višina sredstev se ugotavlja na ravni skupne občinske uprave, se pravi sedežne občine. Poleg tega bo po novem z enim aktom, odločbo vlade, določena konkretna višina zneskov, ki pripadajo posamezni sedežni občini</w:t>
                  </w:r>
                  <w:r>
                    <w:rPr>
                      <w:rFonts w:cs="Arial"/>
                      <w:szCs w:val="20"/>
                      <w:lang w:val="sl-SI"/>
                    </w:rPr>
                    <w:t>, za vse sedežne občine</w:t>
                  </w:r>
                  <w:r w:rsidRPr="009B421B">
                    <w:rPr>
                      <w:rFonts w:cs="Arial"/>
                      <w:szCs w:val="20"/>
                      <w:lang w:val="sl-SI"/>
                    </w:rPr>
                    <w:t xml:space="preserve">. Poenostavljena je tudi normativna ureditev, saj so vsi pogoji zapisani v zakonu, pravilnik ministra ali drug podzakonski akt za izvajanje te zakonske določbe ni več potreben. Zaradi poenostavljenega postopka se povečuje tudi transparentnost porabe sredstev, saj se iz državnega proračuna sofinancira izključno plače in prispevke, kar se dokazuje s kartico finančnega računovodstva sedežne občine, hkrati pa nova ureditev ščiti sedežne občine pred morebitnim nerednim plačevanjem deležev občin soustanoviteljic. Znesek sofinanciranja je skupnim občinskim upravam in občinam vnaprej znan, predvidljivost olajša proračunsko načrtovanje tako državnemu kot občinskim proračunom. </w:t>
                  </w:r>
                  <w:r>
                    <w:rPr>
                      <w:rFonts w:cs="Arial"/>
                      <w:szCs w:val="20"/>
                      <w:lang w:val="sl-SI"/>
                    </w:rPr>
                    <w:t xml:space="preserve">Veljavna </w:t>
                  </w:r>
                  <w:r w:rsidRPr="009B421B">
                    <w:rPr>
                      <w:rFonts w:cs="Arial"/>
                      <w:szCs w:val="20"/>
                      <w:lang w:val="sl-SI"/>
                    </w:rPr>
                    <w:t xml:space="preserve">ureditev omejuje nabor nalog na dvanajst z zakonom predpisanih. Nova ureditev pa ne določa več nabora nalog, ki jih opravlja skupna občinska uprava in so podlaga za sofinanciranje. Odslej lahko občine samostojno, v skladu s svojimi potrebami, določijo vrste nalog. S tem ni več potrebe po nadzoru nad sistemiziranimi delovnimi mesti. </w:t>
                  </w:r>
                </w:p>
                <w:p w14:paraId="06FE16B4" w14:textId="77777777" w:rsidR="002E7D1B" w:rsidRDefault="002E7D1B" w:rsidP="002E7D1B">
                  <w:pPr>
                    <w:spacing w:line="240" w:lineRule="auto"/>
                    <w:jc w:val="both"/>
                    <w:rPr>
                      <w:rFonts w:cs="Arial"/>
                      <w:szCs w:val="20"/>
                      <w:lang w:val="sl-SI"/>
                    </w:rPr>
                  </w:pPr>
                </w:p>
                <w:p w14:paraId="4D7047E4" w14:textId="634C73A9" w:rsidR="002E7D1B" w:rsidRPr="009B421B" w:rsidRDefault="002E7D1B" w:rsidP="002E7D1B">
                  <w:pPr>
                    <w:spacing w:line="240" w:lineRule="auto"/>
                    <w:jc w:val="both"/>
                    <w:rPr>
                      <w:rFonts w:cs="Arial"/>
                      <w:szCs w:val="20"/>
                      <w:lang w:val="sl-SI"/>
                    </w:rPr>
                  </w:pPr>
                  <w:r w:rsidRPr="009B421B">
                    <w:rPr>
                      <w:rFonts w:cs="Arial"/>
                      <w:szCs w:val="20"/>
                      <w:lang w:val="sl-SI"/>
                    </w:rPr>
                    <w:t>V zadnjem odstavku se zaradi stabilnosti celotnega sistema javnega financiranja in predvidljivosti obveznosti državnega proračuna za sofinanciranje organiziranega skupnega opravljanja posameznih nalog občinske uprave določa najvišji možni delež sofinanciranja države, ki je odvisen od višine skupne primerne porabe vseh občin. Ker je znesek določen v razmerju do višine skupne primerne porabe, bo rastel ali padal z višino skupne primerne porabe in javnofinančnim stanjem v državi. V primeru, da bi zahtevki sedežnih občin presegali z zakonom določeno kvoto, bi se sedežnim občinam za sorazmerni delež znižal znesek sofinanciranja.</w:t>
                  </w:r>
                </w:p>
                <w:p w14:paraId="5BA6424D" w14:textId="77777777" w:rsidR="00D4118A" w:rsidRPr="004A448A" w:rsidRDefault="00D4118A" w:rsidP="00B30F31">
                  <w:pPr>
                    <w:spacing w:line="240" w:lineRule="auto"/>
                    <w:jc w:val="both"/>
                    <w:rPr>
                      <w:rFonts w:cs="Arial"/>
                      <w:szCs w:val="20"/>
                      <w:lang w:val="sl-SI"/>
                    </w:rPr>
                  </w:pPr>
                </w:p>
                <w:bookmarkEnd w:id="5"/>
                <w:p w14:paraId="144A666E" w14:textId="4EFA35B4" w:rsidR="00D4118A" w:rsidRPr="004A448A" w:rsidRDefault="00D4118A" w:rsidP="00B30F31">
                  <w:pPr>
                    <w:spacing w:line="240" w:lineRule="auto"/>
                    <w:jc w:val="both"/>
                    <w:rPr>
                      <w:rFonts w:cs="Arial"/>
                      <w:b/>
                      <w:bCs/>
                      <w:szCs w:val="20"/>
                      <w:lang w:val="sl-SI"/>
                    </w:rPr>
                  </w:pPr>
                  <w:r w:rsidRPr="004A448A">
                    <w:rPr>
                      <w:rFonts w:cs="Arial"/>
                      <w:b/>
                      <w:bCs/>
                      <w:szCs w:val="20"/>
                      <w:lang w:val="sl-SI"/>
                    </w:rPr>
                    <w:t xml:space="preserve">K </w:t>
                  </w:r>
                  <w:r w:rsidR="00206B0A">
                    <w:rPr>
                      <w:rFonts w:cs="Arial"/>
                      <w:b/>
                      <w:bCs/>
                      <w:szCs w:val="20"/>
                      <w:lang w:val="sl-SI"/>
                    </w:rPr>
                    <w:t>9</w:t>
                  </w:r>
                  <w:r w:rsidRPr="004A448A">
                    <w:rPr>
                      <w:rFonts w:cs="Arial"/>
                      <w:b/>
                      <w:bCs/>
                      <w:szCs w:val="20"/>
                      <w:lang w:val="sl-SI"/>
                    </w:rPr>
                    <w:t>. členu</w:t>
                  </w:r>
                </w:p>
                <w:p w14:paraId="0548575E" w14:textId="77777777" w:rsidR="00D4118A" w:rsidRPr="004A448A" w:rsidRDefault="00D4118A" w:rsidP="00B30F31">
                  <w:pPr>
                    <w:spacing w:line="240" w:lineRule="auto"/>
                    <w:jc w:val="both"/>
                    <w:rPr>
                      <w:rFonts w:cs="Arial"/>
                      <w:szCs w:val="20"/>
                      <w:lang w:val="sl-SI"/>
                    </w:rPr>
                  </w:pPr>
                  <w:r w:rsidRPr="004A448A">
                    <w:rPr>
                      <w:rFonts w:cs="Arial"/>
                      <w:szCs w:val="20"/>
                      <w:lang w:val="sl-SI"/>
                    </w:rPr>
                    <w:t>V členu so urejeni primeri, ko so postopki za sofinanciranje investicij občin v katerih se kot merilo uporablja razvitost občin in v njem določeni kazalniki začeti pred uveljavitvijo zakona. V teh primerih se omenjeni postopki končajo na podlagi meril, kot so določena v zakonu, ki je veljal ob pričetku postopka sofinanciranja.</w:t>
                  </w:r>
                </w:p>
                <w:p w14:paraId="434C569D" w14:textId="77777777" w:rsidR="00D4118A" w:rsidRPr="004A448A" w:rsidRDefault="00D4118A" w:rsidP="00B30F31">
                  <w:pPr>
                    <w:spacing w:line="240" w:lineRule="auto"/>
                    <w:jc w:val="both"/>
                    <w:rPr>
                      <w:rFonts w:cs="Arial"/>
                      <w:b/>
                      <w:bCs/>
                      <w:szCs w:val="20"/>
                      <w:lang w:val="sl-SI"/>
                    </w:rPr>
                  </w:pPr>
                </w:p>
                <w:p w14:paraId="5AB18352" w14:textId="1F265DB7" w:rsidR="00D4118A" w:rsidRPr="004A448A" w:rsidRDefault="00D4118A" w:rsidP="00B30F31">
                  <w:pPr>
                    <w:suppressAutoHyphens/>
                    <w:overflowPunct w:val="0"/>
                    <w:autoSpaceDE w:val="0"/>
                    <w:autoSpaceDN w:val="0"/>
                    <w:adjustRightInd w:val="0"/>
                    <w:jc w:val="both"/>
                    <w:textAlignment w:val="baseline"/>
                    <w:outlineLvl w:val="3"/>
                    <w:rPr>
                      <w:rFonts w:cs="Arial"/>
                      <w:b/>
                      <w:szCs w:val="20"/>
                      <w:lang w:val="sl-SI" w:eastAsia="sl-SI"/>
                    </w:rPr>
                  </w:pPr>
                  <w:r w:rsidRPr="004A448A">
                    <w:rPr>
                      <w:rFonts w:cs="Arial"/>
                      <w:b/>
                      <w:szCs w:val="20"/>
                      <w:lang w:val="sl-SI" w:eastAsia="sl-SI"/>
                    </w:rPr>
                    <w:t>K 1</w:t>
                  </w:r>
                  <w:r w:rsidR="00206B0A">
                    <w:rPr>
                      <w:rFonts w:cs="Arial"/>
                      <w:b/>
                      <w:szCs w:val="20"/>
                      <w:lang w:val="sl-SI" w:eastAsia="sl-SI"/>
                    </w:rPr>
                    <w:t>0</w:t>
                  </w:r>
                  <w:r w:rsidRPr="004A448A">
                    <w:rPr>
                      <w:rFonts w:cs="Arial"/>
                      <w:b/>
                      <w:szCs w:val="20"/>
                      <w:lang w:val="sl-SI" w:eastAsia="sl-SI"/>
                    </w:rPr>
                    <w:t>. členu</w:t>
                  </w:r>
                </w:p>
                <w:p w14:paraId="6707BDA0" w14:textId="77777777" w:rsidR="00D4118A" w:rsidRPr="004A448A" w:rsidRDefault="00D4118A" w:rsidP="00B30F31">
                  <w:pPr>
                    <w:spacing w:line="240" w:lineRule="auto"/>
                    <w:jc w:val="both"/>
                    <w:rPr>
                      <w:rFonts w:cs="Arial"/>
                      <w:szCs w:val="20"/>
                      <w:lang w:val="sl-SI"/>
                    </w:rPr>
                  </w:pPr>
                  <w:r w:rsidRPr="004A448A">
                    <w:rPr>
                      <w:rFonts w:cs="Arial"/>
                      <w:szCs w:val="20"/>
                      <w:lang w:val="sl-SI"/>
                    </w:rPr>
                    <w:t>Člen določa prenehanje veljave Pravilnika o izvajanju sofinanciranja skupnega opravljanja posameznih nalog občinske uprave (Uradni list RS, št. 36/18 in 2/20), saj podzakonsko urejanje omenjene materije glede na spremembo 26. člena ZFO-1 ni potreben.</w:t>
                  </w:r>
                </w:p>
                <w:p w14:paraId="2F027EFD" w14:textId="77777777" w:rsidR="00D4118A" w:rsidRPr="004A448A" w:rsidRDefault="00D4118A" w:rsidP="00B30F31">
                  <w:pPr>
                    <w:spacing w:line="240" w:lineRule="auto"/>
                    <w:jc w:val="both"/>
                    <w:rPr>
                      <w:rFonts w:cs="Arial"/>
                      <w:b/>
                      <w:bCs/>
                      <w:szCs w:val="20"/>
                      <w:lang w:val="sl-SI"/>
                    </w:rPr>
                  </w:pPr>
                </w:p>
                <w:p w14:paraId="0DCE7DEA" w14:textId="1DE5EB35" w:rsidR="00D4118A" w:rsidRPr="004A448A" w:rsidRDefault="00D4118A" w:rsidP="00B30F31">
                  <w:pPr>
                    <w:spacing w:line="240" w:lineRule="auto"/>
                    <w:jc w:val="both"/>
                    <w:rPr>
                      <w:rFonts w:cs="Arial"/>
                      <w:b/>
                      <w:bCs/>
                      <w:szCs w:val="20"/>
                      <w:lang w:val="sl-SI"/>
                    </w:rPr>
                  </w:pPr>
                  <w:r w:rsidRPr="004A448A">
                    <w:rPr>
                      <w:rFonts w:cs="Arial"/>
                      <w:b/>
                      <w:bCs/>
                      <w:szCs w:val="20"/>
                      <w:lang w:val="sl-SI"/>
                    </w:rPr>
                    <w:t>K 1</w:t>
                  </w:r>
                  <w:r w:rsidR="00206B0A">
                    <w:rPr>
                      <w:rFonts w:cs="Arial"/>
                      <w:b/>
                      <w:bCs/>
                      <w:szCs w:val="20"/>
                      <w:lang w:val="sl-SI"/>
                    </w:rPr>
                    <w:t>1</w:t>
                  </w:r>
                  <w:r w:rsidRPr="004A448A">
                    <w:rPr>
                      <w:rFonts w:cs="Arial"/>
                      <w:b/>
                      <w:bCs/>
                      <w:szCs w:val="20"/>
                      <w:lang w:val="sl-SI"/>
                    </w:rPr>
                    <w:t>. členu</w:t>
                  </w:r>
                </w:p>
                <w:p w14:paraId="45C130DB" w14:textId="77777777" w:rsidR="00D4118A" w:rsidRPr="004A448A" w:rsidRDefault="00D4118A" w:rsidP="00B30F31">
                  <w:pPr>
                    <w:spacing w:line="240" w:lineRule="auto"/>
                    <w:jc w:val="both"/>
                    <w:rPr>
                      <w:rFonts w:cs="Arial"/>
                      <w:szCs w:val="20"/>
                      <w:lang w:val="sl-SI"/>
                    </w:rPr>
                  </w:pPr>
                  <w:r w:rsidRPr="004A448A">
                    <w:rPr>
                      <w:rFonts w:cs="Arial"/>
                      <w:szCs w:val="20"/>
                      <w:lang w:val="sl-SI"/>
                    </w:rPr>
                    <w:t xml:space="preserve">Člen določa 3-mesečni rok za izdajo vladne uredbe iz šestega odstavka </w:t>
                  </w:r>
                  <w:proofErr w:type="spellStart"/>
                  <w:r w:rsidRPr="004A448A">
                    <w:rPr>
                      <w:rFonts w:cs="Arial"/>
                      <w:szCs w:val="20"/>
                      <w:lang w:val="sl-SI"/>
                    </w:rPr>
                    <w:t>20.a</w:t>
                  </w:r>
                  <w:proofErr w:type="spellEnd"/>
                  <w:r w:rsidRPr="004A448A">
                    <w:rPr>
                      <w:rFonts w:cs="Arial"/>
                      <w:szCs w:val="20"/>
                      <w:lang w:val="sl-SI"/>
                    </w:rPr>
                    <w:t xml:space="preserve"> člena in prvega odstavka 24. člena ZFO-1.</w:t>
                  </w:r>
                </w:p>
                <w:p w14:paraId="1F7C19E7" w14:textId="77777777" w:rsidR="00D4118A" w:rsidRPr="004A448A" w:rsidRDefault="00D4118A" w:rsidP="00B30F31">
                  <w:pPr>
                    <w:spacing w:line="240" w:lineRule="auto"/>
                    <w:jc w:val="both"/>
                    <w:rPr>
                      <w:rFonts w:cs="Arial"/>
                      <w:b/>
                      <w:bCs/>
                      <w:szCs w:val="20"/>
                      <w:lang w:val="sl-SI"/>
                    </w:rPr>
                  </w:pPr>
                </w:p>
                <w:p w14:paraId="01073F8D" w14:textId="3DECEA65" w:rsidR="00D4118A" w:rsidRPr="004A448A" w:rsidRDefault="00D4118A" w:rsidP="00B30F31">
                  <w:pPr>
                    <w:suppressAutoHyphens/>
                    <w:overflowPunct w:val="0"/>
                    <w:autoSpaceDE w:val="0"/>
                    <w:autoSpaceDN w:val="0"/>
                    <w:adjustRightInd w:val="0"/>
                    <w:jc w:val="both"/>
                    <w:textAlignment w:val="baseline"/>
                    <w:outlineLvl w:val="3"/>
                    <w:rPr>
                      <w:rFonts w:cs="Arial"/>
                      <w:b/>
                      <w:bCs/>
                      <w:szCs w:val="20"/>
                      <w:lang w:val="sl-SI"/>
                    </w:rPr>
                  </w:pPr>
                  <w:r w:rsidRPr="004A448A">
                    <w:rPr>
                      <w:rFonts w:cs="Arial"/>
                      <w:b/>
                      <w:bCs/>
                      <w:szCs w:val="20"/>
                      <w:lang w:val="sl-SI"/>
                    </w:rPr>
                    <w:t>K 1</w:t>
                  </w:r>
                  <w:r w:rsidR="00206B0A">
                    <w:rPr>
                      <w:rFonts w:cs="Arial"/>
                      <w:b/>
                      <w:bCs/>
                      <w:szCs w:val="20"/>
                      <w:lang w:val="sl-SI"/>
                    </w:rPr>
                    <w:t>2</w:t>
                  </w:r>
                  <w:r w:rsidRPr="004A448A">
                    <w:rPr>
                      <w:rFonts w:cs="Arial"/>
                      <w:b/>
                      <w:bCs/>
                      <w:szCs w:val="20"/>
                      <w:lang w:val="sl-SI"/>
                    </w:rPr>
                    <w:t>. členu</w:t>
                  </w:r>
                </w:p>
                <w:p w14:paraId="0E1DB4DB" w14:textId="77777777" w:rsidR="00D4118A" w:rsidRPr="004A448A" w:rsidRDefault="00D4118A" w:rsidP="00B30F31">
                  <w:pPr>
                    <w:suppressAutoHyphens/>
                    <w:overflowPunct w:val="0"/>
                    <w:autoSpaceDE w:val="0"/>
                    <w:autoSpaceDN w:val="0"/>
                    <w:adjustRightInd w:val="0"/>
                    <w:jc w:val="both"/>
                    <w:textAlignment w:val="baseline"/>
                    <w:outlineLvl w:val="3"/>
                    <w:rPr>
                      <w:rFonts w:cs="Arial"/>
                      <w:szCs w:val="20"/>
                      <w:lang w:val="sl-SI"/>
                    </w:rPr>
                  </w:pPr>
                  <w:r w:rsidRPr="004A448A">
                    <w:rPr>
                      <w:rFonts w:cs="Arial"/>
                      <w:szCs w:val="20"/>
                      <w:lang w:val="sl-SI"/>
                    </w:rPr>
                    <w:t xml:space="preserve">Člen določa </w:t>
                  </w:r>
                  <w:proofErr w:type="spellStart"/>
                  <w:r w:rsidRPr="004A448A">
                    <w:rPr>
                      <w:rFonts w:cs="Arial"/>
                      <w:szCs w:val="20"/>
                      <w:lang w:val="sl-SI"/>
                    </w:rPr>
                    <w:t>vakacijski</w:t>
                  </w:r>
                  <w:proofErr w:type="spellEnd"/>
                  <w:r w:rsidRPr="004A448A">
                    <w:rPr>
                      <w:rFonts w:cs="Arial"/>
                      <w:szCs w:val="20"/>
                      <w:lang w:val="sl-SI"/>
                    </w:rPr>
                    <w:t xml:space="preserve"> rok in začetek uporabe zakona.</w:t>
                  </w:r>
                </w:p>
              </w:tc>
            </w:tr>
            <w:bookmarkEnd w:id="1"/>
          </w:tbl>
          <w:p w14:paraId="0AE24314" w14:textId="77777777" w:rsidR="00D4118A" w:rsidRPr="004A448A" w:rsidRDefault="00D4118A" w:rsidP="00B30F31">
            <w:pPr>
              <w:pStyle w:val="Oddelek"/>
              <w:numPr>
                <w:ilvl w:val="0"/>
                <w:numId w:val="0"/>
              </w:numPr>
              <w:spacing w:before="0" w:after="0" w:line="260" w:lineRule="exact"/>
              <w:jc w:val="left"/>
              <w:rPr>
                <w:sz w:val="20"/>
                <w:szCs w:val="20"/>
              </w:rPr>
            </w:pPr>
          </w:p>
        </w:tc>
      </w:tr>
    </w:tbl>
    <w:p w14:paraId="5B2B05A7" w14:textId="77777777" w:rsidR="00E86CAC" w:rsidRPr="004A448A" w:rsidRDefault="00E86CAC">
      <w:pPr>
        <w:rPr>
          <w:rFonts w:cs="Arial"/>
          <w:szCs w:val="20"/>
          <w:lang w:val="sl-SI"/>
        </w:rPr>
      </w:pPr>
    </w:p>
    <w:sectPr w:rsidR="00E86CAC" w:rsidRPr="004A44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DE862" w14:textId="77777777" w:rsidR="00B7747D" w:rsidRDefault="00B7747D" w:rsidP="00D4118A">
      <w:pPr>
        <w:spacing w:line="240" w:lineRule="auto"/>
      </w:pPr>
      <w:r>
        <w:separator/>
      </w:r>
    </w:p>
  </w:endnote>
  <w:endnote w:type="continuationSeparator" w:id="0">
    <w:p w14:paraId="0FC47CFD" w14:textId="77777777" w:rsidR="00B7747D" w:rsidRDefault="00B7747D" w:rsidP="00D41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5B89F" w14:textId="77777777" w:rsidR="00B7747D" w:rsidRDefault="00B7747D" w:rsidP="00D4118A">
      <w:pPr>
        <w:spacing w:line="240" w:lineRule="auto"/>
      </w:pPr>
      <w:r>
        <w:separator/>
      </w:r>
    </w:p>
  </w:footnote>
  <w:footnote w:type="continuationSeparator" w:id="0">
    <w:p w14:paraId="297F8A89" w14:textId="77777777" w:rsidR="00B7747D" w:rsidRDefault="00B7747D" w:rsidP="00D4118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BFE"/>
    <w:multiLevelType w:val="hybridMultilevel"/>
    <w:tmpl w:val="70C47F36"/>
    <w:lvl w:ilvl="0" w:tplc="69B4AA5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6A22F7E"/>
    <w:multiLevelType w:val="hybridMultilevel"/>
    <w:tmpl w:val="6BCE55CA"/>
    <w:lvl w:ilvl="0" w:tplc="69B4AA54">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A7C5573"/>
    <w:multiLevelType w:val="hybridMultilevel"/>
    <w:tmpl w:val="C3CAAC5C"/>
    <w:lvl w:ilvl="0" w:tplc="FB06A5A2">
      <w:start w:val="1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0F457B38"/>
    <w:multiLevelType w:val="hybridMultilevel"/>
    <w:tmpl w:val="FC76BF2E"/>
    <w:lvl w:ilvl="0" w:tplc="FF200B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B1936DD"/>
    <w:multiLevelType w:val="hybridMultilevel"/>
    <w:tmpl w:val="C360BFCA"/>
    <w:lvl w:ilvl="0" w:tplc="69B4AA54">
      <w:start w:val="1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2829609A"/>
    <w:multiLevelType w:val="hybridMultilevel"/>
    <w:tmpl w:val="26D04212"/>
    <w:lvl w:ilvl="0" w:tplc="8302438E">
      <w:start w:val="1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2BE70B59"/>
    <w:multiLevelType w:val="hybridMultilevel"/>
    <w:tmpl w:val="3E3E5448"/>
    <w:lvl w:ilvl="0" w:tplc="9C5E3F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80E1E6E"/>
    <w:multiLevelType w:val="hybridMultilevel"/>
    <w:tmpl w:val="A61AE19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
    <w:nsid w:val="3F3E75C4"/>
    <w:multiLevelType w:val="hybridMultilevel"/>
    <w:tmpl w:val="45C4FEE8"/>
    <w:lvl w:ilvl="0" w:tplc="D1064C52">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9381FBB"/>
    <w:multiLevelType w:val="hybridMultilevel"/>
    <w:tmpl w:val="0234F768"/>
    <w:lvl w:ilvl="0" w:tplc="69B4AA54">
      <w:start w:val="1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58545FA1"/>
    <w:multiLevelType w:val="hybridMultilevel"/>
    <w:tmpl w:val="1C6499FA"/>
    <w:lvl w:ilvl="0" w:tplc="FF34F426">
      <w:start w:val="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690A7BBF"/>
    <w:multiLevelType w:val="hybridMultilevel"/>
    <w:tmpl w:val="24D0C094"/>
    <w:lvl w:ilvl="0" w:tplc="64CEB180">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01D6494"/>
    <w:multiLevelType w:val="hybridMultilevel"/>
    <w:tmpl w:val="49FE2B9A"/>
    <w:lvl w:ilvl="0" w:tplc="60AE6D36">
      <w:start w:val="1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8"/>
  </w:num>
  <w:num w:numId="2">
    <w:abstractNumId w:val="9"/>
    <w:lvlOverride w:ilvl="0">
      <w:startOverride w:val="1"/>
    </w:lvlOverride>
  </w:num>
  <w:num w:numId="3">
    <w:abstractNumId w:val="3"/>
  </w:num>
  <w:num w:numId="4">
    <w:abstractNumId w:val="10"/>
  </w:num>
  <w:num w:numId="5">
    <w:abstractNumId w:val="5"/>
  </w:num>
  <w:num w:numId="6">
    <w:abstractNumId w:val="4"/>
  </w:num>
  <w:num w:numId="7">
    <w:abstractNumId w:val="13"/>
  </w:num>
  <w:num w:numId="8">
    <w:abstractNumId w:val="2"/>
  </w:num>
  <w:num w:numId="9">
    <w:abstractNumId w:val="14"/>
  </w:num>
  <w:num w:numId="10">
    <w:abstractNumId w:val="11"/>
  </w:num>
  <w:num w:numId="11">
    <w:abstractNumId w:val="12"/>
  </w:num>
  <w:num w:numId="12">
    <w:abstractNumId w:val="1"/>
  </w:num>
  <w:num w:numId="13">
    <w:abstractNumId w:val="6"/>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8A"/>
    <w:rsid w:val="000158B3"/>
    <w:rsid w:val="00045DD4"/>
    <w:rsid w:val="000759EF"/>
    <w:rsid w:val="000C6E92"/>
    <w:rsid w:val="000E1476"/>
    <w:rsid w:val="00103A4A"/>
    <w:rsid w:val="00127A35"/>
    <w:rsid w:val="00174366"/>
    <w:rsid w:val="00193848"/>
    <w:rsid w:val="001B7AC3"/>
    <w:rsid w:val="00206B0A"/>
    <w:rsid w:val="00214D2D"/>
    <w:rsid w:val="002B21FC"/>
    <w:rsid w:val="002C45C5"/>
    <w:rsid w:val="002E258F"/>
    <w:rsid w:val="002E7D1B"/>
    <w:rsid w:val="00310A5F"/>
    <w:rsid w:val="003327B6"/>
    <w:rsid w:val="00352171"/>
    <w:rsid w:val="0036585F"/>
    <w:rsid w:val="00382E86"/>
    <w:rsid w:val="00393DAB"/>
    <w:rsid w:val="003941EC"/>
    <w:rsid w:val="0040762B"/>
    <w:rsid w:val="00421B32"/>
    <w:rsid w:val="004305B7"/>
    <w:rsid w:val="004725BF"/>
    <w:rsid w:val="004826C4"/>
    <w:rsid w:val="004852A6"/>
    <w:rsid w:val="00496203"/>
    <w:rsid w:val="004A448A"/>
    <w:rsid w:val="004A7B8E"/>
    <w:rsid w:val="004D0D9C"/>
    <w:rsid w:val="004D264C"/>
    <w:rsid w:val="004F5411"/>
    <w:rsid w:val="004F63F0"/>
    <w:rsid w:val="0052346C"/>
    <w:rsid w:val="0058387D"/>
    <w:rsid w:val="005D043C"/>
    <w:rsid w:val="005D2455"/>
    <w:rsid w:val="00620D4C"/>
    <w:rsid w:val="00625E0C"/>
    <w:rsid w:val="006746A5"/>
    <w:rsid w:val="00690C2D"/>
    <w:rsid w:val="006C4834"/>
    <w:rsid w:val="006D3426"/>
    <w:rsid w:val="006D3F55"/>
    <w:rsid w:val="006E7149"/>
    <w:rsid w:val="006E748E"/>
    <w:rsid w:val="006E7B49"/>
    <w:rsid w:val="00720CD7"/>
    <w:rsid w:val="00760159"/>
    <w:rsid w:val="00783354"/>
    <w:rsid w:val="0079017B"/>
    <w:rsid w:val="007B6624"/>
    <w:rsid w:val="007C21DF"/>
    <w:rsid w:val="007F1AA0"/>
    <w:rsid w:val="0081467B"/>
    <w:rsid w:val="0083434E"/>
    <w:rsid w:val="008750FD"/>
    <w:rsid w:val="00892387"/>
    <w:rsid w:val="008F23CD"/>
    <w:rsid w:val="00925997"/>
    <w:rsid w:val="009421EC"/>
    <w:rsid w:val="009A3170"/>
    <w:rsid w:val="009B3F38"/>
    <w:rsid w:val="009F1A52"/>
    <w:rsid w:val="00A34E0C"/>
    <w:rsid w:val="00A56FDF"/>
    <w:rsid w:val="00A64667"/>
    <w:rsid w:val="00AA3ACA"/>
    <w:rsid w:val="00AC48D8"/>
    <w:rsid w:val="00B32FD8"/>
    <w:rsid w:val="00B42336"/>
    <w:rsid w:val="00B7747D"/>
    <w:rsid w:val="00B80EE0"/>
    <w:rsid w:val="00B81055"/>
    <w:rsid w:val="00BA3E17"/>
    <w:rsid w:val="00BF4ED0"/>
    <w:rsid w:val="00C17D5F"/>
    <w:rsid w:val="00C235F1"/>
    <w:rsid w:val="00C257D1"/>
    <w:rsid w:val="00C2646B"/>
    <w:rsid w:val="00C45430"/>
    <w:rsid w:val="00C47835"/>
    <w:rsid w:val="00C543FC"/>
    <w:rsid w:val="00C906BC"/>
    <w:rsid w:val="00D051F8"/>
    <w:rsid w:val="00D4118A"/>
    <w:rsid w:val="00D5491B"/>
    <w:rsid w:val="00E31B52"/>
    <w:rsid w:val="00E34CF3"/>
    <w:rsid w:val="00E66316"/>
    <w:rsid w:val="00E673F5"/>
    <w:rsid w:val="00E86CAC"/>
    <w:rsid w:val="00EB0D57"/>
    <w:rsid w:val="00ED2EF0"/>
    <w:rsid w:val="00ED38B5"/>
    <w:rsid w:val="00EE59F4"/>
    <w:rsid w:val="00F33976"/>
    <w:rsid w:val="00F354B7"/>
    <w:rsid w:val="00F74CA1"/>
    <w:rsid w:val="00F82BBA"/>
    <w:rsid w:val="00F92F58"/>
    <w:rsid w:val="00FC577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118A"/>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delek">
    <w:name w:val="Oddelek"/>
    <w:basedOn w:val="Navaden"/>
    <w:link w:val="OddelekZnak1"/>
    <w:qFormat/>
    <w:rsid w:val="00D4118A"/>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D4118A"/>
    <w:rPr>
      <w:rFonts w:ascii="Arial" w:eastAsia="Times New Roman" w:hAnsi="Arial" w:cs="Arial"/>
      <w:b/>
      <w:lang w:eastAsia="sl-SI"/>
    </w:rPr>
  </w:style>
  <w:style w:type="character" w:customStyle="1" w:styleId="rkovnatokazaodstavkomZnak">
    <w:name w:val="Črkovna točka_za odstavkom Znak"/>
    <w:link w:val="rkovnatokazaodstavkom"/>
    <w:rsid w:val="00D4118A"/>
    <w:rPr>
      <w:rFonts w:ascii="Arial" w:hAnsi="Arial"/>
    </w:rPr>
  </w:style>
  <w:style w:type="paragraph" w:customStyle="1" w:styleId="rkovnatokazaodstavkom">
    <w:name w:val="Črkovna točka_za odstavkom"/>
    <w:basedOn w:val="Navaden"/>
    <w:link w:val="rkovnatokazaodstavkomZnak"/>
    <w:qFormat/>
    <w:rsid w:val="00D4118A"/>
    <w:pPr>
      <w:numPr>
        <w:numId w:val="2"/>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tavek">
    <w:name w:val="odstavek"/>
    <w:basedOn w:val="Navaden"/>
    <w:rsid w:val="00D4118A"/>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unhideWhenUsed/>
    <w:rsid w:val="00D4118A"/>
    <w:rPr>
      <w:sz w:val="16"/>
      <w:szCs w:val="16"/>
    </w:rPr>
  </w:style>
  <w:style w:type="paragraph" w:styleId="Pripombabesedilo">
    <w:name w:val="annotation text"/>
    <w:basedOn w:val="Navaden"/>
    <w:link w:val="PripombabesediloZnak"/>
    <w:uiPriority w:val="99"/>
    <w:unhideWhenUsed/>
    <w:rsid w:val="00D4118A"/>
    <w:pPr>
      <w:spacing w:line="240" w:lineRule="auto"/>
    </w:pPr>
    <w:rPr>
      <w:szCs w:val="20"/>
    </w:rPr>
  </w:style>
  <w:style w:type="character" w:customStyle="1" w:styleId="PripombabesediloZnak">
    <w:name w:val="Pripomba – besedilo Znak"/>
    <w:basedOn w:val="Privzetapisavaodstavka"/>
    <w:link w:val="Pripombabesedilo"/>
    <w:uiPriority w:val="99"/>
    <w:rsid w:val="00D4118A"/>
    <w:rPr>
      <w:rFonts w:ascii="Arial" w:eastAsia="Times New Roman" w:hAnsi="Arial" w:cs="Times New Roman"/>
      <w:sz w:val="20"/>
      <w:szCs w:val="20"/>
      <w:lang w:val="en-US"/>
    </w:rPr>
  </w:style>
  <w:style w:type="paragraph" w:styleId="Sprotnaopomba-besedilo">
    <w:name w:val="footnote text"/>
    <w:basedOn w:val="Navaden"/>
    <w:link w:val="Sprotnaopomba-besediloZnak"/>
    <w:unhideWhenUsed/>
    <w:rsid w:val="00D4118A"/>
    <w:pPr>
      <w:spacing w:line="240" w:lineRule="auto"/>
    </w:pPr>
    <w:rPr>
      <w:szCs w:val="20"/>
    </w:rPr>
  </w:style>
  <w:style w:type="character" w:customStyle="1" w:styleId="Sprotnaopomba-besediloZnak">
    <w:name w:val="Sprotna opomba - besedilo Znak"/>
    <w:basedOn w:val="Privzetapisavaodstavka"/>
    <w:link w:val="Sprotnaopomba-besedilo"/>
    <w:rsid w:val="00D4118A"/>
    <w:rPr>
      <w:rFonts w:ascii="Arial" w:eastAsia="Times New Roman" w:hAnsi="Arial" w:cs="Times New Roman"/>
      <w:sz w:val="20"/>
      <w:szCs w:val="20"/>
      <w:lang w:val="en-US"/>
    </w:rPr>
  </w:style>
  <w:style w:type="character" w:styleId="Sprotnaopomba-sklic">
    <w:name w:val="footnote reference"/>
    <w:basedOn w:val="Privzetapisavaodstavka"/>
    <w:unhideWhenUsed/>
    <w:rsid w:val="00D4118A"/>
    <w:rPr>
      <w:vertAlign w:val="superscript"/>
    </w:rPr>
  </w:style>
  <w:style w:type="paragraph" w:styleId="Zadevapripombe">
    <w:name w:val="annotation subject"/>
    <w:basedOn w:val="Pripombabesedilo"/>
    <w:next w:val="Pripombabesedilo"/>
    <w:link w:val="ZadevapripombeZnak"/>
    <w:uiPriority w:val="99"/>
    <w:semiHidden/>
    <w:unhideWhenUsed/>
    <w:rsid w:val="007B6624"/>
    <w:rPr>
      <w:b/>
      <w:bCs/>
    </w:rPr>
  </w:style>
  <w:style w:type="character" w:customStyle="1" w:styleId="ZadevapripombeZnak">
    <w:name w:val="Zadeva pripombe Znak"/>
    <w:basedOn w:val="PripombabesediloZnak"/>
    <w:link w:val="Zadevapripombe"/>
    <w:uiPriority w:val="99"/>
    <w:semiHidden/>
    <w:rsid w:val="007B6624"/>
    <w:rPr>
      <w:rFonts w:ascii="Arial" w:eastAsia="Times New Roman" w:hAnsi="Arial" w:cs="Times New Roman"/>
      <w:b/>
      <w:bCs/>
      <w:sz w:val="20"/>
      <w:szCs w:val="20"/>
      <w:lang w:val="en-US"/>
    </w:rPr>
  </w:style>
  <w:style w:type="paragraph" w:styleId="Odstavekseznama">
    <w:name w:val="List Paragraph"/>
    <w:basedOn w:val="Navaden"/>
    <w:uiPriority w:val="34"/>
    <w:qFormat/>
    <w:rsid w:val="004D264C"/>
    <w:pPr>
      <w:spacing w:after="160" w:line="259" w:lineRule="auto"/>
      <w:ind w:left="720"/>
      <w:contextualSpacing/>
    </w:pPr>
    <w:rPr>
      <w:rFonts w:asciiTheme="minorHAnsi" w:eastAsiaTheme="minorHAnsi" w:hAnsiTheme="minorHAnsi" w:cstheme="minorBidi"/>
      <w:sz w:val="22"/>
      <w:szCs w:val="22"/>
      <w:lang w:val="sl-SI"/>
    </w:rPr>
  </w:style>
  <w:style w:type="paragraph" w:styleId="Revizija">
    <w:name w:val="Revision"/>
    <w:hidden/>
    <w:uiPriority w:val="99"/>
    <w:semiHidden/>
    <w:rsid w:val="007C21DF"/>
    <w:pPr>
      <w:spacing w:after="0" w:line="240" w:lineRule="auto"/>
    </w:pPr>
    <w:rPr>
      <w:rFonts w:ascii="Arial" w:eastAsia="Times New Roman" w:hAnsi="Arial" w:cs="Times New Roman"/>
      <w:sz w:val="20"/>
      <w:szCs w:val="24"/>
      <w:lang w:val="en-US"/>
    </w:rPr>
  </w:style>
  <w:style w:type="paragraph" w:customStyle="1" w:styleId="zamaknjenadolobaprvinivo">
    <w:name w:val="zamaknjenadolobaprvinivo"/>
    <w:basedOn w:val="Navaden"/>
    <w:rsid w:val="002C45C5"/>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C543FC"/>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C543FC"/>
    <w:pPr>
      <w:spacing w:before="100" w:beforeAutospacing="1" w:after="100" w:afterAutospacing="1" w:line="240" w:lineRule="auto"/>
    </w:pPr>
    <w:rPr>
      <w:rFonts w:ascii="Times New Roman" w:hAnsi="Times New Roman"/>
      <w:sz w:val="24"/>
      <w:lang w:val="sl-SI" w:eastAsia="sl-SI"/>
    </w:rPr>
  </w:style>
  <w:style w:type="paragraph" w:customStyle="1" w:styleId="alineazaodstavkom">
    <w:name w:val="alineazaodstavkom"/>
    <w:basedOn w:val="Navaden"/>
    <w:rsid w:val="00C543FC"/>
    <w:pPr>
      <w:spacing w:before="100" w:beforeAutospacing="1" w:after="100" w:afterAutospacing="1" w:line="240" w:lineRule="auto"/>
    </w:pPr>
    <w:rPr>
      <w:rFonts w:ascii="Times New Roman" w:hAnsi="Times New Roman"/>
      <w:sz w:val="24"/>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118A"/>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delek">
    <w:name w:val="Oddelek"/>
    <w:basedOn w:val="Navaden"/>
    <w:link w:val="OddelekZnak1"/>
    <w:qFormat/>
    <w:rsid w:val="00D4118A"/>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D4118A"/>
    <w:rPr>
      <w:rFonts w:ascii="Arial" w:eastAsia="Times New Roman" w:hAnsi="Arial" w:cs="Arial"/>
      <w:b/>
      <w:lang w:eastAsia="sl-SI"/>
    </w:rPr>
  </w:style>
  <w:style w:type="character" w:customStyle="1" w:styleId="rkovnatokazaodstavkomZnak">
    <w:name w:val="Črkovna točka_za odstavkom Znak"/>
    <w:link w:val="rkovnatokazaodstavkom"/>
    <w:rsid w:val="00D4118A"/>
    <w:rPr>
      <w:rFonts w:ascii="Arial" w:hAnsi="Arial"/>
    </w:rPr>
  </w:style>
  <w:style w:type="paragraph" w:customStyle="1" w:styleId="rkovnatokazaodstavkom">
    <w:name w:val="Črkovna točka_za odstavkom"/>
    <w:basedOn w:val="Navaden"/>
    <w:link w:val="rkovnatokazaodstavkomZnak"/>
    <w:qFormat/>
    <w:rsid w:val="00D4118A"/>
    <w:pPr>
      <w:numPr>
        <w:numId w:val="2"/>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tavek">
    <w:name w:val="odstavek"/>
    <w:basedOn w:val="Navaden"/>
    <w:rsid w:val="00D4118A"/>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unhideWhenUsed/>
    <w:rsid w:val="00D4118A"/>
    <w:rPr>
      <w:sz w:val="16"/>
      <w:szCs w:val="16"/>
    </w:rPr>
  </w:style>
  <w:style w:type="paragraph" w:styleId="Pripombabesedilo">
    <w:name w:val="annotation text"/>
    <w:basedOn w:val="Navaden"/>
    <w:link w:val="PripombabesediloZnak"/>
    <w:uiPriority w:val="99"/>
    <w:unhideWhenUsed/>
    <w:rsid w:val="00D4118A"/>
    <w:pPr>
      <w:spacing w:line="240" w:lineRule="auto"/>
    </w:pPr>
    <w:rPr>
      <w:szCs w:val="20"/>
    </w:rPr>
  </w:style>
  <w:style w:type="character" w:customStyle="1" w:styleId="PripombabesediloZnak">
    <w:name w:val="Pripomba – besedilo Znak"/>
    <w:basedOn w:val="Privzetapisavaodstavka"/>
    <w:link w:val="Pripombabesedilo"/>
    <w:uiPriority w:val="99"/>
    <w:rsid w:val="00D4118A"/>
    <w:rPr>
      <w:rFonts w:ascii="Arial" w:eastAsia="Times New Roman" w:hAnsi="Arial" w:cs="Times New Roman"/>
      <w:sz w:val="20"/>
      <w:szCs w:val="20"/>
      <w:lang w:val="en-US"/>
    </w:rPr>
  </w:style>
  <w:style w:type="paragraph" w:styleId="Sprotnaopomba-besedilo">
    <w:name w:val="footnote text"/>
    <w:basedOn w:val="Navaden"/>
    <w:link w:val="Sprotnaopomba-besediloZnak"/>
    <w:unhideWhenUsed/>
    <w:rsid w:val="00D4118A"/>
    <w:pPr>
      <w:spacing w:line="240" w:lineRule="auto"/>
    </w:pPr>
    <w:rPr>
      <w:szCs w:val="20"/>
    </w:rPr>
  </w:style>
  <w:style w:type="character" w:customStyle="1" w:styleId="Sprotnaopomba-besediloZnak">
    <w:name w:val="Sprotna opomba - besedilo Znak"/>
    <w:basedOn w:val="Privzetapisavaodstavka"/>
    <w:link w:val="Sprotnaopomba-besedilo"/>
    <w:rsid w:val="00D4118A"/>
    <w:rPr>
      <w:rFonts w:ascii="Arial" w:eastAsia="Times New Roman" w:hAnsi="Arial" w:cs="Times New Roman"/>
      <w:sz w:val="20"/>
      <w:szCs w:val="20"/>
      <w:lang w:val="en-US"/>
    </w:rPr>
  </w:style>
  <w:style w:type="character" w:styleId="Sprotnaopomba-sklic">
    <w:name w:val="footnote reference"/>
    <w:basedOn w:val="Privzetapisavaodstavka"/>
    <w:unhideWhenUsed/>
    <w:rsid w:val="00D4118A"/>
    <w:rPr>
      <w:vertAlign w:val="superscript"/>
    </w:rPr>
  </w:style>
  <w:style w:type="paragraph" w:styleId="Zadevapripombe">
    <w:name w:val="annotation subject"/>
    <w:basedOn w:val="Pripombabesedilo"/>
    <w:next w:val="Pripombabesedilo"/>
    <w:link w:val="ZadevapripombeZnak"/>
    <w:uiPriority w:val="99"/>
    <w:semiHidden/>
    <w:unhideWhenUsed/>
    <w:rsid w:val="007B6624"/>
    <w:rPr>
      <w:b/>
      <w:bCs/>
    </w:rPr>
  </w:style>
  <w:style w:type="character" w:customStyle="1" w:styleId="ZadevapripombeZnak">
    <w:name w:val="Zadeva pripombe Znak"/>
    <w:basedOn w:val="PripombabesediloZnak"/>
    <w:link w:val="Zadevapripombe"/>
    <w:uiPriority w:val="99"/>
    <w:semiHidden/>
    <w:rsid w:val="007B6624"/>
    <w:rPr>
      <w:rFonts w:ascii="Arial" w:eastAsia="Times New Roman" w:hAnsi="Arial" w:cs="Times New Roman"/>
      <w:b/>
      <w:bCs/>
      <w:sz w:val="20"/>
      <w:szCs w:val="20"/>
      <w:lang w:val="en-US"/>
    </w:rPr>
  </w:style>
  <w:style w:type="paragraph" w:styleId="Odstavekseznama">
    <w:name w:val="List Paragraph"/>
    <w:basedOn w:val="Navaden"/>
    <w:uiPriority w:val="34"/>
    <w:qFormat/>
    <w:rsid w:val="004D264C"/>
    <w:pPr>
      <w:spacing w:after="160" w:line="259" w:lineRule="auto"/>
      <w:ind w:left="720"/>
      <w:contextualSpacing/>
    </w:pPr>
    <w:rPr>
      <w:rFonts w:asciiTheme="minorHAnsi" w:eastAsiaTheme="minorHAnsi" w:hAnsiTheme="minorHAnsi" w:cstheme="minorBidi"/>
      <w:sz w:val="22"/>
      <w:szCs w:val="22"/>
      <w:lang w:val="sl-SI"/>
    </w:rPr>
  </w:style>
  <w:style w:type="paragraph" w:styleId="Revizija">
    <w:name w:val="Revision"/>
    <w:hidden/>
    <w:uiPriority w:val="99"/>
    <w:semiHidden/>
    <w:rsid w:val="007C21DF"/>
    <w:pPr>
      <w:spacing w:after="0" w:line="240" w:lineRule="auto"/>
    </w:pPr>
    <w:rPr>
      <w:rFonts w:ascii="Arial" w:eastAsia="Times New Roman" w:hAnsi="Arial" w:cs="Times New Roman"/>
      <w:sz w:val="20"/>
      <w:szCs w:val="24"/>
      <w:lang w:val="en-US"/>
    </w:rPr>
  </w:style>
  <w:style w:type="paragraph" w:customStyle="1" w:styleId="zamaknjenadolobaprvinivo">
    <w:name w:val="zamaknjenadolobaprvinivo"/>
    <w:basedOn w:val="Navaden"/>
    <w:rsid w:val="002C45C5"/>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C543FC"/>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C543FC"/>
    <w:pPr>
      <w:spacing w:before="100" w:beforeAutospacing="1" w:after="100" w:afterAutospacing="1" w:line="240" w:lineRule="auto"/>
    </w:pPr>
    <w:rPr>
      <w:rFonts w:ascii="Times New Roman" w:hAnsi="Times New Roman"/>
      <w:sz w:val="24"/>
      <w:lang w:val="sl-SI" w:eastAsia="sl-SI"/>
    </w:rPr>
  </w:style>
  <w:style w:type="paragraph" w:customStyle="1" w:styleId="alineazaodstavkom">
    <w:name w:val="alineazaodstavkom"/>
    <w:basedOn w:val="Navaden"/>
    <w:rsid w:val="00C543FC"/>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3332">
      <w:bodyDiv w:val="1"/>
      <w:marLeft w:val="0"/>
      <w:marRight w:val="0"/>
      <w:marTop w:val="0"/>
      <w:marBottom w:val="0"/>
      <w:divBdr>
        <w:top w:val="none" w:sz="0" w:space="0" w:color="auto"/>
        <w:left w:val="none" w:sz="0" w:space="0" w:color="auto"/>
        <w:bottom w:val="none" w:sz="0" w:space="0" w:color="auto"/>
        <w:right w:val="none" w:sz="0" w:space="0" w:color="auto"/>
      </w:divBdr>
    </w:div>
    <w:div w:id="197278479">
      <w:bodyDiv w:val="1"/>
      <w:marLeft w:val="0"/>
      <w:marRight w:val="0"/>
      <w:marTop w:val="0"/>
      <w:marBottom w:val="0"/>
      <w:divBdr>
        <w:top w:val="none" w:sz="0" w:space="0" w:color="auto"/>
        <w:left w:val="none" w:sz="0" w:space="0" w:color="auto"/>
        <w:bottom w:val="none" w:sz="0" w:space="0" w:color="auto"/>
        <w:right w:val="none" w:sz="0" w:space="0" w:color="auto"/>
      </w:divBdr>
    </w:div>
    <w:div w:id="224999514">
      <w:bodyDiv w:val="1"/>
      <w:marLeft w:val="0"/>
      <w:marRight w:val="0"/>
      <w:marTop w:val="0"/>
      <w:marBottom w:val="0"/>
      <w:divBdr>
        <w:top w:val="none" w:sz="0" w:space="0" w:color="auto"/>
        <w:left w:val="none" w:sz="0" w:space="0" w:color="auto"/>
        <w:bottom w:val="none" w:sz="0" w:space="0" w:color="auto"/>
        <w:right w:val="none" w:sz="0" w:space="0" w:color="auto"/>
      </w:divBdr>
    </w:div>
    <w:div w:id="288440830">
      <w:bodyDiv w:val="1"/>
      <w:marLeft w:val="0"/>
      <w:marRight w:val="0"/>
      <w:marTop w:val="0"/>
      <w:marBottom w:val="0"/>
      <w:divBdr>
        <w:top w:val="none" w:sz="0" w:space="0" w:color="auto"/>
        <w:left w:val="none" w:sz="0" w:space="0" w:color="auto"/>
        <w:bottom w:val="none" w:sz="0" w:space="0" w:color="auto"/>
        <w:right w:val="none" w:sz="0" w:space="0" w:color="auto"/>
      </w:divBdr>
    </w:div>
    <w:div w:id="326902873">
      <w:bodyDiv w:val="1"/>
      <w:marLeft w:val="0"/>
      <w:marRight w:val="0"/>
      <w:marTop w:val="0"/>
      <w:marBottom w:val="0"/>
      <w:divBdr>
        <w:top w:val="none" w:sz="0" w:space="0" w:color="auto"/>
        <w:left w:val="none" w:sz="0" w:space="0" w:color="auto"/>
        <w:bottom w:val="none" w:sz="0" w:space="0" w:color="auto"/>
        <w:right w:val="none" w:sz="0" w:space="0" w:color="auto"/>
      </w:divBdr>
    </w:div>
    <w:div w:id="538930027">
      <w:bodyDiv w:val="1"/>
      <w:marLeft w:val="0"/>
      <w:marRight w:val="0"/>
      <w:marTop w:val="0"/>
      <w:marBottom w:val="0"/>
      <w:divBdr>
        <w:top w:val="none" w:sz="0" w:space="0" w:color="auto"/>
        <w:left w:val="none" w:sz="0" w:space="0" w:color="auto"/>
        <w:bottom w:val="none" w:sz="0" w:space="0" w:color="auto"/>
        <w:right w:val="none" w:sz="0" w:space="0" w:color="auto"/>
      </w:divBdr>
    </w:div>
    <w:div w:id="724446830">
      <w:bodyDiv w:val="1"/>
      <w:marLeft w:val="0"/>
      <w:marRight w:val="0"/>
      <w:marTop w:val="0"/>
      <w:marBottom w:val="0"/>
      <w:divBdr>
        <w:top w:val="none" w:sz="0" w:space="0" w:color="auto"/>
        <w:left w:val="none" w:sz="0" w:space="0" w:color="auto"/>
        <w:bottom w:val="none" w:sz="0" w:space="0" w:color="auto"/>
        <w:right w:val="none" w:sz="0" w:space="0" w:color="auto"/>
      </w:divBdr>
    </w:div>
    <w:div w:id="850413279">
      <w:bodyDiv w:val="1"/>
      <w:marLeft w:val="0"/>
      <w:marRight w:val="0"/>
      <w:marTop w:val="0"/>
      <w:marBottom w:val="0"/>
      <w:divBdr>
        <w:top w:val="none" w:sz="0" w:space="0" w:color="auto"/>
        <w:left w:val="none" w:sz="0" w:space="0" w:color="auto"/>
        <w:bottom w:val="none" w:sz="0" w:space="0" w:color="auto"/>
        <w:right w:val="none" w:sz="0" w:space="0" w:color="auto"/>
      </w:divBdr>
    </w:div>
    <w:div w:id="877425604">
      <w:bodyDiv w:val="1"/>
      <w:marLeft w:val="0"/>
      <w:marRight w:val="0"/>
      <w:marTop w:val="0"/>
      <w:marBottom w:val="0"/>
      <w:divBdr>
        <w:top w:val="none" w:sz="0" w:space="0" w:color="auto"/>
        <w:left w:val="none" w:sz="0" w:space="0" w:color="auto"/>
        <w:bottom w:val="none" w:sz="0" w:space="0" w:color="auto"/>
        <w:right w:val="none" w:sz="0" w:space="0" w:color="auto"/>
      </w:divBdr>
    </w:div>
    <w:div w:id="1131439777">
      <w:bodyDiv w:val="1"/>
      <w:marLeft w:val="0"/>
      <w:marRight w:val="0"/>
      <w:marTop w:val="0"/>
      <w:marBottom w:val="0"/>
      <w:divBdr>
        <w:top w:val="none" w:sz="0" w:space="0" w:color="auto"/>
        <w:left w:val="none" w:sz="0" w:space="0" w:color="auto"/>
        <w:bottom w:val="none" w:sz="0" w:space="0" w:color="auto"/>
        <w:right w:val="none" w:sz="0" w:space="0" w:color="auto"/>
      </w:divBdr>
    </w:div>
    <w:div w:id="1152982359">
      <w:bodyDiv w:val="1"/>
      <w:marLeft w:val="0"/>
      <w:marRight w:val="0"/>
      <w:marTop w:val="0"/>
      <w:marBottom w:val="0"/>
      <w:divBdr>
        <w:top w:val="none" w:sz="0" w:space="0" w:color="auto"/>
        <w:left w:val="none" w:sz="0" w:space="0" w:color="auto"/>
        <w:bottom w:val="none" w:sz="0" w:space="0" w:color="auto"/>
        <w:right w:val="none" w:sz="0" w:space="0" w:color="auto"/>
      </w:divBdr>
    </w:div>
    <w:div w:id="1571426432">
      <w:bodyDiv w:val="1"/>
      <w:marLeft w:val="0"/>
      <w:marRight w:val="0"/>
      <w:marTop w:val="0"/>
      <w:marBottom w:val="0"/>
      <w:divBdr>
        <w:top w:val="none" w:sz="0" w:space="0" w:color="auto"/>
        <w:left w:val="none" w:sz="0" w:space="0" w:color="auto"/>
        <w:bottom w:val="none" w:sz="0" w:space="0" w:color="auto"/>
        <w:right w:val="none" w:sz="0" w:space="0" w:color="auto"/>
      </w:divBdr>
    </w:div>
    <w:div w:id="1617365389">
      <w:bodyDiv w:val="1"/>
      <w:marLeft w:val="0"/>
      <w:marRight w:val="0"/>
      <w:marTop w:val="0"/>
      <w:marBottom w:val="0"/>
      <w:divBdr>
        <w:top w:val="none" w:sz="0" w:space="0" w:color="auto"/>
        <w:left w:val="none" w:sz="0" w:space="0" w:color="auto"/>
        <w:bottom w:val="none" w:sz="0" w:space="0" w:color="auto"/>
        <w:right w:val="none" w:sz="0" w:space="0" w:color="auto"/>
      </w:divBdr>
    </w:div>
    <w:div w:id="1713843451">
      <w:bodyDiv w:val="1"/>
      <w:marLeft w:val="0"/>
      <w:marRight w:val="0"/>
      <w:marTop w:val="0"/>
      <w:marBottom w:val="0"/>
      <w:divBdr>
        <w:top w:val="none" w:sz="0" w:space="0" w:color="auto"/>
        <w:left w:val="none" w:sz="0" w:space="0" w:color="auto"/>
        <w:bottom w:val="none" w:sz="0" w:space="0" w:color="auto"/>
        <w:right w:val="none" w:sz="0" w:space="0" w:color="auto"/>
      </w:divBdr>
    </w:div>
    <w:div w:id="1755006393">
      <w:bodyDiv w:val="1"/>
      <w:marLeft w:val="0"/>
      <w:marRight w:val="0"/>
      <w:marTop w:val="0"/>
      <w:marBottom w:val="0"/>
      <w:divBdr>
        <w:top w:val="none" w:sz="0" w:space="0" w:color="auto"/>
        <w:left w:val="none" w:sz="0" w:space="0" w:color="auto"/>
        <w:bottom w:val="none" w:sz="0" w:space="0" w:color="auto"/>
        <w:right w:val="none" w:sz="0" w:space="0" w:color="auto"/>
      </w:divBdr>
    </w:div>
    <w:div w:id="21226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3EC1FE-6B2F-4799-B577-7C239721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3929</Words>
  <Characters>22401</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Aldijana Ahmetović</dc:creator>
  <cp:lastModifiedBy>Uporabnik</cp:lastModifiedBy>
  <cp:revision>2</cp:revision>
  <dcterms:created xsi:type="dcterms:W3CDTF">2024-02-13T06:41:00Z</dcterms:created>
  <dcterms:modified xsi:type="dcterms:W3CDTF">2024-02-13T06:41:00Z</dcterms:modified>
</cp:coreProperties>
</file>